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660" w:right="1520" w:hanging="3652"/>
        <w:spacing w:after="0" w:line="264"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2025</w:t>
      </w:r>
    </w:p>
    <w:p>
      <w:pPr>
        <w:spacing w:after="0" w:line="13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 w:lineRule="exact"/>
        <w:rPr>
          <w:sz w:val="24"/>
          <w:szCs w:val="24"/>
          <w:color w:val="auto"/>
        </w:rPr>
      </w:pPr>
    </w:p>
    <w:p>
      <w:pPr>
        <w:ind w:left="3500"/>
        <w:spacing w:after="0"/>
        <w:tabs>
          <w:tab w:leader="none" w:pos="6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Commission File Number: 001-40429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4260" w:type="dxa"/>
            <w:vAlign w:val="bottom"/>
          </w:tcPr>
          <w:p>
            <w:pPr>
              <w:jc w:val="right"/>
              <w:ind w:right="190"/>
              <w:spacing w:after="0"/>
              <w:rPr>
                <w:sz w:val="20"/>
                <w:szCs w:val="20"/>
                <w:color w:val="auto"/>
              </w:rPr>
            </w:pPr>
            <w:r>
              <w:rPr>
                <w:rFonts w:ascii="Arial" w:cs="Arial" w:eastAsia="Arial" w:hAnsi="Arial"/>
                <w:sz w:val="18"/>
                <w:szCs w:val="18"/>
                <w:b w:val="1"/>
                <w:bCs w:val="1"/>
                <w:color w:val="auto"/>
              </w:rPr>
              <w:t>45-3188251</w:t>
            </w: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(State or other jurisdiction of</w:t>
            </w:r>
          </w:p>
        </w:tc>
        <w:tc>
          <w:tcPr>
            <w:tcW w:w="4260" w:type="dxa"/>
            <w:vAlign w:val="bottom"/>
          </w:tcPr>
          <w:p>
            <w:pPr>
              <w:jc w:val="center"/>
              <w:ind w:left="2670"/>
              <w:spacing w:after="0" w:line="202" w:lineRule="exact"/>
              <w:rPr>
                <w:sz w:val="20"/>
                <w:szCs w:val="20"/>
                <w:color w:val="auto"/>
              </w:rPr>
            </w:pPr>
            <w:r>
              <w:rPr>
                <w:rFonts w:ascii="Arial" w:cs="Arial" w:eastAsia="Arial" w:hAnsi="Arial"/>
                <w:sz w:val="18"/>
                <w:szCs w:val="18"/>
                <w:b w:val="1"/>
                <w:bCs w:val="1"/>
                <w:color w:val="auto"/>
                <w:w w:val="99"/>
              </w:rPr>
              <w:t>(I.R.S. Employer</w:t>
            </w: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incorporation or organization)</w:t>
            </w:r>
          </w:p>
        </w:tc>
        <w:tc>
          <w:tcPr>
            <w:tcW w:w="4260" w:type="dxa"/>
            <w:vAlign w:val="bottom"/>
          </w:tcPr>
          <w:p>
            <w:pPr>
              <w:jc w:val="center"/>
              <w:ind w:left="2650"/>
              <w:spacing w:after="0" w:line="202" w:lineRule="exact"/>
              <w:rPr>
                <w:sz w:val="20"/>
                <w:szCs w:val="20"/>
                <w:color w:val="auto"/>
              </w:rPr>
            </w:pPr>
            <w:r>
              <w:rPr>
                <w:rFonts w:ascii="Arial" w:cs="Arial" w:eastAsia="Arial" w:hAnsi="Arial"/>
                <w:sz w:val="18"/>
                <w:szCs w:val="18"/>
                <w:b w:val="1"/>
                <w:bCs w:val="1"/>
                <w:color w:val="auto"/>
                <w:w w:val="99"/>
              </w:rPr>
              <w:t>Identification No.)</w:t>
            </w: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11605 North Community House Road, Suite 300</w:t>
            </w:r>
          </w:p>
        </w:tc>
        <w:tc>
          <w:tcPr>
            <w:tcW w:w="4260" w:type="dxa"/>
            <w:vAlign w:val="bottom"/>
          </w:tcPr>
          <w:p>
            <w:pPr>
              <w:spacing w:after="0"/>
              <w:rPr>
                <w:sz w:val="17"/>
                <w:szCs w:val="17"/>
                <w:color w:val="auto"/>
              </w:rPr>
            </w:pPr>
          </w:p>
        </w:tc>
      </w:tr>
      <w:tr>
        <w:trPr>
          <w:trHeight w:val="203"/>
        </w:trPr>
        <w:tc>
          <w:tcPr>
            <w:tcW w:w="4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Charlotte, NC</w:t>
            </w:r>
          </w:p>
        </w:tc>
        <w:tc>
          <w:tcPr>
            <w:tcW w:w="42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28277</w:t>
            </w:r>
          </w:p>
        </w:tc>
      </w:tr>
      <w:tr>
        <w:trPr>
          <w:trHeight w:val="203"/>
        </w:trPr>
        <w:tc>
          <w:tcPr>
            <w:tcW w:w="41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(Address of principal executive offices)</w:t>
            </w:r>
          </w:p>
        </w:tc>
        <w:tc>
          <w:tcPr>
            <w:tcW w:w="4260" w:type="dxa"/>
            <w:vAlign w:val="bottom"/>
          </w:tcPr>
          <w:p>
            <w:pPr>
              <w:jc w:val="center"/>
              <w:ind w:left="2670"/>
              <w:spacing w:after="0" w:line="202" w:lineRule="exact"/>
              <w:rPr>
                <w:sz w:val="20"/>
                <w:szCs w:val="20"/>
                <w:color w:val="auto"/>
              </w:rPr>
            </w:pPr>
            <w:r>
              <w:rPr>
                <w:rFonts w:ascii="Arial" w:cs="Arial" w:eastAsia="Arial" w:hAnsi="Arial"/>
                <w:sz w:val="18"/>
                <w:szCs w:val="18"/>
                <w:b w:val="1"/>
                <w:bCs w:val="1"/>
                <w:color w:val="auto"/>
              </w:rPr>
              <w:t>(Zip Code)</w:t>
            </w:r>
          </w:p>
        </w:tc>
      </w:tr>
      <w:tr>
        <w:trPr>
          <w:trHeight w:val="220"/>
        </w:trPr>
        <w:tc>
          <w:tcPr>
            <w:tcW w:w="4140" w:type="dxa"/>
            <w:vAlign w:val="bottom"/>
          </w:tcPr>
          <w:p>
            <w:pPr>
              <w:spacing w:after="0"/>
              <w:rPr>
                <w:sz w:val="19"/>
                <w:szCs w:val="19"/>
                <w:color w:val="auto"/>
              </w:rPr>
            </w:pPr>
          </w:p>
        </w:tc>
        <w:tc>
          <w:tcPr>
            <w:tcW w:w="4260" w:type="dxa"/>
            <w:vAlign w:val="bottom"/>
          </w:tcPr>
          <w:p>
            <w:pPr>
              <w:jc w:val="right"/>
              <w:ind w:right="2850"/>
              <w:spacing w:after="0"/>
              <w:rPr>
                <w:sz w:val="20"/>
                <w:szCs w:val="20"/>
                <w:color w:val="auto"/>
              </w:rPr>
            </w:pPr>
            <w:r>
              <w:rPr>
                <w:rFonts w:ascii="Arial" w:cs="Arial" w:eastAsia="Arial" w:hAnsi="Arial"/>
                <w:sz w:val="18"/>
                <w:szCs w:val="18"/>
                <w:b w:val="1"/>
                <w:bCs w:val="1"/>
                <w:color w:val="auto"/>
              </w:rPr>
              <w:t>(888) 440-4826</w:t>
            </w:r>
          </w:p>
        </w:tc>
      </w:tr>
    </w:tbl>
    <w:p>
      <w:pPr>
        <w:ind w:left="33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1"/>
        </w:trPr>
        <w:tc>
          <w:tcPr>
            <w:tcW w:w="4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4"/>
                <w:szCs w:val="14"/>
                <w:color w:val="auto"/>
              </w:rPr>
            </w:pPr>
          </w:p>
        </w:tc>
        <w:tc>
          <w:tcPr>
            <w:tcW w:w="5080" w:type="dxa"/>
            <w:vAlign w:val="bottom"/>
            <w:tcBorders>
              <w:bottom w:val="single" w:sz="8" w:color="auto"/>
            </w:tcBorders>
          </w:tcPr>
          <w:p>
            <w:pPr>
              <w:spacing w:after="0"/>
              <w:rPr>
                <w:sz w:val="14"/>
                <w:szCs w:val="14"/>
                <w:color w:val="auto"/>
              </w:rPr>
            </w:pPr>
          </w:p>
        </w:tc>
      </w:tr>
      <w:tr>
        <w:trPr>
          <w:trHeight w:val="184"/>
        </w:trPr>
        <w:tc>
          <w:tcPr>
            <w:tcW w:w="4280" w:type="dxa"/>
            <w:vAlign w:val="bottom"/>
          </w:tcPr>
          <w:p>
            <w:pPr>
              <w:spacing w:after="0"/>
              <w:rPr>
                <w:sz w:val="20"/>
                <w:szCs w:val="20"/>
                <w:color w:val="auto"/>
              </w:rPr>
            </w:pPr>
            <w:r>
              <w:rPr>
                <w:rFonts w:ascii="Arial" w:cs="Arial" w:eastAsia="Arial" w:hAnsi="Arial"/>
                <w:sz w:val="14"/>
                <w:szCs w:val="14"/>
                <w:color w:val="auto"/>
              </w:rPr>
              <w:t>Class A Common Stock, par value $0.0001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PAY</w:t>
            </w:r>
          </w:p>
        </w:tc>
        <w:tc>
          <w:tcPr>
            <w:tcW w:w="100" w:type="dxa"/>
            <w:vAlign w:val="bottom"/>
          </w:tcPr>
          <w:p>
            <w:pPr>
              <w:spacing w:after="0"/>
              <w:rPr>
                <w:sz w:val="15"/>
                <w:szCs w:val="15"/>
                <w:color w:val="auto"/>
              </w:rPr>
            </w:pPr>
          </w:p>
        </w:tc>
        <w:tc>
          <w:tcPr>
            <w:tcW w:w="508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61" w:lineRule="exact"/>
        <w:rPr>
          <w:sz w:val="24"/>
          <w:szCs w:val="24"/>
          <w:color w:val="auto"/>
        </w:rPr>
      </w:pPr>
    </w:p>
    <w:p>
      <w:pPr>
        <w:ind w:right="260" w:firstLine="494"/>
        <w:spacing w:after="0" w:line="24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700" w:val="left"/>
          <w:tab w:leader="none" w:pos="64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0" w:lineRule="exact"/>
        <w:rPr>
          <w:sz w:val="24"/>
          <w:szCs w:val="24"/>
          <w:color w:val="auto"/>
        </w:rPr>
      </w:pPr>
    </w:p>
    <w:p>
      <w:pPr>
        <w:jc w:val="both"/>
        <w:ind w:right="660" w:firstLine="494"/>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60" w:firstLine="494"/>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02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2980"/>
              <w:spacing w:after="0" w:line="202" w:lineRule="exact"/>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4"/>
        </w:trPr>
        <w:tc>
          <w:tcPr>
            <w:tcW w:w="2020" w:type="dxa"/>
            <w:vAlign w:val="bottom"/>
          </w:tcPr>
          <w:p>
            <w:pPr>
              <w:spacing w:after="0"/>
              <w:rPr>
                <w:sz w:val="20"/>
                <w:szCs w:val="20"/>
                <w:color w:val="auto"/>
              </w:rPr>
            </w:pPr>
            <w:r>
              <w:rPr>
                <w:rFonts w:ascii="Arial" w:cs="Arial" w:eastAsia="Arial" w:hAnsi="Arial"/>
                <w:sz w:val="18"/>
                <w:szCs w:val="18"/>
                <w:color w:val="auto"/>
              </w:rPr>
              <w:t>Emerging growth</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9"/>
        </w:trPr>
        <w:tc>
          <w:tcPr>
            <w:tcW w:w="2020" w:type="dxa"/>
            <w:vAlign w:val="bottom"/>
          </w:tcPr>
          <w:p>
            <w:pPr>
              <w:spacing w:after="0"/>
              <w:rPr>
                <w:sz w:val="20"/>
                <w:szCs w:val="20"/>
                <w:color w:val="auto"/>
              </w:rPr>
            </w:pPr>
            <w:r>
              <w:rPr>
                <w:rFonts w:ascii="Arial" w:cs="Arial" w:eastAsia="Arial" w:hAnsi="Arial"/>
                <w:sz w:val="18"/>
                <w:szCs w:val="18"/>
                <w:color w:val="auto"/>
              </w:rPr>
              <w:t>company</w:t>
            </w:r>
          </w:p>
        </w:tc>
        <w:tc>
          <w:tcPr>
            <w:tcW w:w="33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72" w:lineRule="exact"/>
        <w:rPr>
          <w:sz w:val="24"/>
          <w:szCs w:val="24"/>
          <w:color w:val="auto"/>
        </w:rPr>
      </w:pPr>
    </w:p>
    <w:p>
      <w:pPr>
        <w:ind w:right="560" w:firstLine="494"/>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ind w:left="500"/>
        <w:spacing w:after="0" w:line="207" w:lineRule="exact"/>
        <w:tabs>
          <w:tab w:leader="none" w:pos="9720" w:val="left"/>
          <w:tab w:leader="none" w:pos="105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44" w:lineRule="exact"/>
        <w:rPr>
          <w:sz w:val="24"/>
          <w:szCs w:val="24"/>
          <w:color w:val="auto"/>
        </w:rPr>
      </w:pPr>
    </w:p>
    <w:p>
      <w:pPr>
        <w:ind w:right="440" w:firstLine="494"/>
        <w:spacing w:after="0" w:line="271" w:lineRule="auto"/>
        <w:rPr>
          <w:sz w:val="20"/>
          <w:szCs w:val="20"/>
          <w:color w:val="auto"/>
        </w:rPr>
      </w:pPr>
      <w:r>
        <w:rPr>
          <w:rFonts w:ascii="Arial" w:cs="Arial" w:eastAsia="Arial" w:hAnsi="Arial"/>
          <w:sz w:val="18"/>
          <w:szCs w:val="18"/>
          <w:color w:val="auto"/>
        </w:rPr>
        <w:t>As of May 2, 2025, the registrant had 35,178,073 shares of Class A Common Stock, $0.0001 par value per share and 89,954,158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791210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980" w:type="dxa"/>
            <w:vAlign w:val="bottom"/>
            <w:gridSpan w:val="9"/>
          </w:tcPr>
          <w:p>
            <w:pPr>
              <w:ind w:left="3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19"/>
            <w:vMerge w:val="restart"/>
          </w:tcPr>
          <w:p>
            <w:pPr>
              <w:spacing w:after="0"/>
              <w:rPr>
                <w:sz w:val="20"/>
                <w:szCs w:val="20"/>
                <w:color w:val="auto"/>
              </w:rPr>
            </w:pPr>
            <w:r>
              <w:rPr>
                <w:rFonts w:ascii="Arial" w:cs="Arial" w:eastAsia="Arial" w:hAnsi="Arial"/>
                <w:sz w:val="18"/>
                <w:szCs w:val="18"/>
                <w:color w:val="auto"/>
              </w:rPr>
              <w:t>Special Note Regarding Forward-Looking Statements</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320" w:type="dxa"/>
            <w:vAlign w:val="bottom"/>
            <w:gridSpan w:val="1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30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9"/>
              </w:rPr>
              <w:t>FINANCIAL INFORMATION</w:t>
            </w:r>
          </w:p>
        </w:tc>
        <w:tc>
          <w:tcPr>
            <w:tcW w:w="1960" w:type="dxa"/>
            <w:vAlign w:val="bottom"/>
            <w:tcBorders>
              <w:top w:val="single" w:sz="8" w:color="auto"/>
            </w:tcBorders>
            <w:gridSpan w:val="5"/>
          </w:tcPr>
          <w:p>
            <w:pPr>
              <w:spacing w:after="0"/>
              <w:rPr>
                <w:sz w:val="24"/>
                <w:szCs w:val="24"/>
                <w:color w:val="auto"/>
              </w:rPr>
            </w:pPr>
          </w:p>
        </w:tc>
        <w:tc>
          <w:tcPr>
            <w:tcW w:w="506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19"/>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tcBorders>
              <w:top w:val="single" w:sz="8" w:color="auto"/>
            </w:tcBorders>
            <w:gridSpan w:val="9"/>
          </w:tcPr>
          <w:p>
            <w:pPr>
              <w:spacing w:after="0" w:line="182" w:lineRule="exact"/>
              <w:rPr>
                <w:sz w:val="20"/>
                <w:szCs w:val="20"/>
                <w:color w:val="auto"/>
              </w:rPr>
            </w:pPr>
            <w:r>
              <w:rPr>
                <w:rFonts w:ascii="Arial" w:cs="Arial" w:eastAsia="Arial" w:hAnsi="Arial"/>
                <w:sz w:val="18"/>
                <w:szCs w:val="18"/>
                <w:color w:val="auto"/>
                <w:w w:val="97"/>
              </w:rPr>
              <w:t>Condensed Consolidated Balance</w:t>
            </w:r>
          </w:p>
        </w:tc>
        <w:tc>
          <w:tcPr>
            <w:tcW w:w="6640" w:type="dxa"/>
            <w:vAlign w:val="bottom"/>
            <w:gridSpan w:val="10"/>
          </w:tcPr>
          <w:p>
            <w:pPr>
              <w:ind w:left="100"/>
              <w:spacing w:after="0" w:line="182" w:lineRule="exact"/>
              <w:rPr>
                <w:sz w:val="20"/>
                <w:szCs w:val="20"/>
                <w:color w:val="auto"/>
              </w:rPr>
            </w:pPr>
            <w:r>
              <w:rPr>
                <w:rFonts w:ascii="Arial" w:cs="Arial" w:eastAsia="Arial" w:hAnsi="Arial"/>
                <w:sz w:val="18"/>
                <w:szCs w:val="18"/>
                <w:color w:val="auto"/>
              </w:rPr>
              <w:t>Sheets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Borders>
              <w:top w:val="single" w:sz="8" w:color="auto"/>
            </w:tcBorders>
            <w:gridSpan w:val="10"/>
          </w:tcPr>
          <w:p>
            <w:pPr>
              <w:spacing w:after="0" w:line="182" w:lineRule="exact"/>
              <w:rPr>
                <w:sz w:val="20"/>
                <w:szCs w:val="20"/>
                <w:color w:val="auto"/>
              </w:rPr>
            </w:pPr>
            <w:r>
              <w:rPr>
                <w:rFonts w:ascii="Arial" w:cs="Arial" w:eastAsia="Arial" w:hAnsi="Arial"/>
                <w:sz w:val="18"/>
                <w:szCs w:val="18"/>
                <w:color w:val="auto"/>
              </w:rPr>
              <w:t>Condensed Consolidated Statements of</w:t>
            </w:r>
          </w:p>
        </w:tc>
        <w:tc>
          <w:tcPr>
            <w:tcW w:w="5980" w:type="dxa"/>
            <w:vAlign w:val="bottom"/>
            <w:gridSpan w:val="9"/>
          </w:tcPr>
          <w:p>
            <w:pPr>
              <w:spacing w:after="0" w:line="182" w:lineRule="exact"/>
              <w:rPr>
                <w:sz w:val="20"/>
                <w:szCs w:val="20"/>
                <w:color w:val="auto"/>
              </w:rPr>
            </w:pPr>
            <w:r>
              <w:rPr>
                <w:rFonts w:ascii="Arial" w:cs="Arial" w:eastAsia="Arial" w:hAnsi="Arial"/>
                <w:sz w:val="18"/>
                <w:szCs w:val="18"/>
                <w:color w:val="auto"/>
              </w:rPr>
              <w:t>Operations and Comprehensive Income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20" w:type="dxa"/>
            <w:vAlign w:val="bottom"/>
            <w:tcBorders>
              <w:top w:val="single" w:sz="8" w:color="auto"/>
            </w:tcBorders>
            <w:gridSpan w:val="17"/>
          </w:tcPr>
          <w:p>
            <w:pPr>
              <w:spacing w:after="0" w:line="182" w:lineRule="exact"/>
              <w:rPr>
                <w:sz w:val="20"/>
                <w:szCs w:val="20"/>
                <w:color w:val="auto"/>
              </w:rPr>
            </w:pPr>
            <w:r>
              <w:rPr>
                <w:rFonts w:ascii="Arial" w:cs="Arial" w:eastAsia="Arial" w:hAnsi="Arial"/>
                <w:sz w:val="18"/>
                <w:szCs w:val="18"/>
                <w:color w:val="auto"/>
              </w:rPr>
              <w:t>Condensed Consolidated Statements of Stockholders' Equity</w:t>
            </w:r>
          </w:p>
        </w:tc>
        <w:tc>
          <w:tcPr>
            <w:tcW w:w="6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Borders>
              <w:top w:val="single" w:sz="8" w:color="0000EE"/>
              <w:bottom w:val="single" w:sz="8" w:color="auto"/>
            </w:tcBorders>
            <w:gridSpan w:val="11"/>
          </w:tcPr>
          <w:p>
            <w:pPr>
              <w:spacing w:after="0" w:line="182" w:lineRule="exact"/>
              <w:rPr>
                <w:sz w:val="20"/>
                <w:szCs w:val="20"/>
                <w:color w:val="auto"/>
              </w:rPr>
            </w:pPr>
            <w:r>
              <w:rPr>
                <w:rFonts w:ascii="Arial" w:cs="Arial" w:eastAsia="Arial" w:hAnsi="Arial"/>
                <w:sz w:val="18"/>
                <w:szCs w:val="18"/>
                <w:color w:val="auto"/>
                <w:w w:val="99"/>
              </w:rPr>
              <w:t>Condensed Consolidated Statements of Cash Flows</w:t>
            </w:r>
          </w:p>
        </w:tc>
        <w:tc>
          <w:tcPr>
            <w:tcW w:w="680" w:type="dxa"/>
            <w:vAlign w:val="bottom"/>
            <w:tcBorders>
              <w:top w:val="single" w:sz="8" w:color="0000EE"/>
            </w:tcBorders>
            <w:gridSpan w:val="4"/>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180" w:type="dxa"/>
            <w:vAlign w:val="bottom"/>
            <w:gridSpan w:val="2"/>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Borders>
              <w:bottom w:val="single" w:sz="8" w:color="auto"/>
            </w:tcBorders>
            <w:gridSpan w:val="13"/>
          </w:tcPr>
          <w:p>
            <w:pPr>
              <w:spacing w:after="0" w:line="182" w:lineRule="exact"/>
              <w:rPr>
                <w:sz w:val="20"/>
                <w:szCs w:val="20"/>
                <w:color w:val="auto"/>
              </w:rPr>
            </w:pPr>
            <w:r>
              <w:rPr>
                <w:rFonts w:ascii="Arial" w:cs="Arial" w:eastAsia="Arial" w:hAnsi="Arial"/>
                <w:sz w:val="18"/>
                <w:szCs w:val="18"/>
                <w:color w:val="auto"/>
                <w:w w:val="99"/>
              </w:rPr>
              <w:t>Notes to Condensed Consolidated Financial Statements</w:t>
            </w:r>
          </w:p>
        </w:tc>
        <w:tc>
          <w:tcPr>
            <w:tcW w:w="48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9320" w:type="dxa"/>
            <w:vAlign w:val="bottom"/>
            <w:gridSpan w:val="19"/>
          </w:tcPr>
          <w:p>
            <w:pPr>
              <w:spacing w:after="0" w:line="18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auto"/>
            </w:tcBorders>
            <w:gridSpan w:val="18"/>
          </w:tcPr>
          <w:p>
            <w:pPr>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auto"/>
              <w:bottom w:val="single" w:sz="8" w:color="auto"/>
            </w:tcBorders>
            <w:gridSpan w:val="6"/>
          </w:tcPr>
          <w:p>
            <w:pPr>
              <w:spacing w:after="0" w:line="182" w:lineRule="exact"/>
              <w:rPr>
                <w:sz w:val="20"/>
                <w:szCs w:val="20"/>
                <w:color w:val="auto"/>
              </w:rPr>
            </w:pPr>
            <w:r>
              <w:rPr>
                <w:rFonts w:ascii="Arial" w:cs="Arial" w:eastAsia="Arial" w:hAnsi="Arial"/>
                <w:sz w:val="18"/>
                <w:szCs w:val="18"/>
                <w:color w:val="auto"/>
                <w:w w:val="99"/>
              </w:rPr>
              <w:t>Controls and Procedures</w:t>
            </w:r>
          </w:p>
        </w:tc>
        <w:tc>
          <w:tcPr>
            <w:tcW w:w="2720" w:type="dxa"/>
            <w:vAlign w:val="bottom"/>
            <w:tcBorders>
              <w:top w:val="single" w:sz="8" w:color="auto"/>
            </w:tcBorders>
            <w:gridSpan w:val="8"/>
          </w:tcPr>
          <w:p>
            <w:pPr>
              <w:spacing w:after="0"/>
              <w:rPr>
                <w:sz w:val="15"/>
                <w:szCs w:val="15"/>
                <w:color w:val="auto"/>
              </w:rPr>
            </w:pPr>
          </w:p>
        </w:tc>
        <w:tc>
          <w:tcPr>
            <w:tcW w:w="140" w:type="dxa"/>
            <w:vAlign w:val="bottom"/>
          </w:tcPr>
          <w:p>
            <w:pPr>
              <w:spacing w:after="0"/>
              <w:rPr>
                <w:sz w:val="15"/>
                <w:szCs w:val="15"/>
                <w:color w:val="auto"/>
              </w:rPr>
            </w:pPr>
          </w:p>
        </w:tc>
        <w:tc>
          <w:tcPr>
            <w:tcW w:w="44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20" w:type="dxa"/>
            <w:vAlign w:val="bottom"/>
            <w:gridSpan w:val="19"/>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19"/>
          </w:tcPr>
          <w:p>
            <w:pPr>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auto"/>
            </w:tcBorders>
            <w:gridSpan w:val="4"/>
          </w:tcPr>
          <w:p>
            <w:pPr>
              <w:spacing w:after="0" w:line="182" w:lineRule="exact"/>
              <w:rPr>
                <w:sz w:val="20"/>
                <w:szCs w:val="20"/>
                <w:color w:val="auto"/>
              </w:rPr>
            </w:pPr>
            <w:r>
              <w:rPr>
                <w:rFonts w:ascii="Arial" w:cs="Arial" w:eastAsia="Arial" w:hAnsi="Arial"/>
                <w:sz w:val="18"/>
                <w:szCs w:val="18"/>
                <w:color w:val="auto"/>
              </w:rPr>
              <w:t>Risk Factors</w:t>
            </w:r>
          </w:p>
        </w:tc>
        <w:tc>
          <w:tcPr>
            <w:tcW w:w="440" w:type="dxa"/>
            <w:vAlign w:val="bottom"/>
          </w:tcPr>
          <w:p>
            <w:pPr>
              <w:spacing w:after="0"/>
              <w:rPr>
                <w:sz w:val="15"/>
                <w:szCs w:val="15"/>
                <w:color w:val="auto"/>
              </w:rPr>
            </w:pPr>
          </w:p>
        </w:tc>
        <w:tc>
          <w:tcPr>
            <w:tcW w:w="620" w:type="dxa"/>
            <w:vAlign w:val="bottom"/>
            <w:gridSpan w:val="3"/>
          </w:tcPr>
          <w:p>
            <w:pPr>
              <w:spacing w:after="0"/>
              <w:rPr>
                <w:sz w:val="15"/>
                <w:szCs w:val="15"/>
                <w:color w:val="auto"/>
              </w:rPr>
            </w:pPr>
          </w:p>
        </w:tc>
        <w:tc>
          <w:tcPr>
            <w:tcW w:w="2300" w:type="dxa"/>
            <w:vAlign w:val="bottom"/>
            <w:gridSpan w:val="7"/>
          </w:tcPr>
          <w:p>
            <w:pPr>
              <w:spacing w:after="0"/>
              <w:rPr>
                <w:sz w:val="15"/>
                <w:szCs w:val="15"/>
                <w:color w:val="auto"/>
              </w:rPr>
            </w:pPr>
          </w:p>
        </w:tc>
        <w:tc>
          <w:tcPr>
            <w:tcW w:w="44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w w:val="95"/>
              </w:rPr>
              <w:t>Unregistered</w:t>
            </w:r>
          </w:p>
        </w:tc>
        <w:tc>
          <w:tcPr>
            <w:tcW w:w="8320" w:type="dxa"/>
            <w:vAlign w:val="bottom"/>
            <w:gridSpan w:val="17"/>
          </w:tcPr>
          <w:p>
            <w:pPr>
              <w:ind w:left="80"/>
              <w:spacing w:after="0" w:line="182" w:lineRule="exact"/>
              <w:rPr>
                <w:sz w:val="20"/>
                <w:szCs w:val="20"/>
                <w:color w:val="auto"/>
              </w:rPr>
            </w:pPr>
            <w:r>
              <w:rPr>
                <w:rFonts w:ascii="Arial" w:cs="Arial" w:eastAsia="Arial" w:hAnsi="Arial"/>
                <w:sz w:val="18"/>
                <w:szCs w:val="18"/>
                <w:color w:val="auto"/>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auto"/>
            </w:tcBorders>
            <w:gridSpan w:val="15"/>
          </w:tcPr>
          <w:p>
            <w:pPr>
              <w:spacing w:after="0" w:line="182" w:lineRule="exact"/>
              <w:rPr>
                <w:sz w:val="20"/>
                <w:szCs w:val="20"/>
                <w:color w:val="auto"/>
              </w:rPr>
            </w:pPr>
            <w:r>
              <w:rPr>
                <w:rFonts w:ascii="Arial" w:cs="Arial" w:eastAsia="Arial" w:hAnsi="Arial"/>
                <w:sz w:val="18"/>
                <w:szCs w:val="18"/>
                <w:color w:val="auto"/>
              </w:rPr>
              <w:t>Defaults Upon Senior Securities</w:t>
            </w:r>
          </w:p>
        </w:tc>
        <w:tc>
          <w:tcPr>
            <w:tcW w:w="446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auto"/>
            </w:tcBorders>
            <w:gridSpan w:val="8"/>
          </w:tcPr>
          <w:p>
            <w:pPr>
              <w:spacing w:after="0" w:line="182" w:lineRule="exact"/>
              <w:rPr>
                <w:sz w:val="20"/>
                <w:szCs w:val="20"/>
                <w:color w:val="auto"/>
              </w:rPr>
            </w:pPr>
            <w:r>
              <w:rPr>
                <w:rFonts w:ascii="Arial" w:cs="Arial" w:eastAsia="Arial" w:hAnsi="Arial"/>
                <w:sz w:val="18"/>
                <w:szCs w:val="18"/>
                <w:color w:val="auto"/>
              </w:rPr>
              <w:t>Mine Safety Disclosures</w:t>
            </w:r>
          </w:p>
        </w:tc>
        <w:tc>
          <w:tcPr>
            <w:tcW w:w="676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auto"/>
            </w:tcBorders>
            <w:gridSpan w:val="5"/>
          </w:tcPr>
          <w:p>
            <w:pPr>
              <w:spacing w:after="0" w:line="182" w:lineRule="exact"/>
              <w:rPr>
                <w:sz w:val="20"/>
                <w:szCs w:val="20"/>
                <w:color w:val="auto"/>
              </w:rPr>
            </w:pPr>
            <w:r>
              <w:rPr>
                <w:rFonts w:ascii="Arial" w:cs="Arial" w:eastAsia="Arial" w:hAnsi="Arial"/>
                <w:sz w:val="18"/>
                <w:szCs w:val="18"/>
                <w:color w:val="auto"/>
              </w:rPr>
              <w:t>Other Information</w:t>
            </w:r>
          </w:p>
        </w:tc>
        <w:tc>
          <w:tcPr>
            <w:tcW w:w="738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8"/>
              </w:rPr>
              <w:t>Exhibits</w:t>
            </w:r>
          </w:p>
        </w:tc>
        <w:tc>
          <w:tcPr>
            <w:tcW w:w="760" w:type="dxa"/>
            <w:vAlign w:val="bottom"/>
            <w:tcBorders>
              <w:top w:val="single" w:sz="8" w:color="auto"/>
            </w:tcBorders>
            <w:gridSpan w:val="2"/>
          </w:tcPr>
          <w:p>
            <w:pPr>
              <w:spacing w:after="0"/>
              <w:rPr>
                <w:sz w:val="15"/>
                <w:szCs w:val="15"/>
                <w:color w:val="auto"/>
              </w:rPr>
            </w:pPr>
          </w:p>
        </w:tc>
        <w:tc>
          <w:tcPr>
            <w:tcW w:w="792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Signatures</w:t>
            </w:r>
          </w:p>
        </w:tc>
        <w:tc>
          <w:tcPr>
            <w:tcW w:w="4720" w:type="dxa"/>
            <w:vAlign w:val="bottom"/>
            <w:gridSpan w:val="14"/>
            <w:vMerge w:val="restart"/>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642"/>
        </w:trPr>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720" w:type="dxa"/>
            <w:vAlign w:val="bottom"/>
            <w:gridSpan w:val="14"/>
            <w:vMerge w:val="continue"/>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This report on Form 10-Q for the quarterly period ended March 31, 2025 (“Quarterly Report”) contains forward-looking statements within the meaning of the federal securities laws, such as those under the headings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7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manage our growth and expand our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biller, financial institutions, partner and consumer base;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timely implement and recognize revenue from new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revenue, expenses and other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material cybersecurity incident on our reputation as a trusted brand or on our business, operating results and financial condition;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 opportunity and anticipated trends in our business and industry;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remain competitive as we continue to scale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product features and enhance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including inflation and changes in trade policies and tariffs, and their impact on us, consumer demand, average bill amounts and interchange fees;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disruptions or instability in the financial services industry, or perceived or actual liquidity constraints at financial institutions, on our ability or the ability of our customers and vendors to meet operating expense requirements or to satisfy financial or other obligations;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enhance our brand;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 to expand into new channels and industry verticals across different markets;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widespread health issues on our operating results, liquidity and financial condition and on our employees, billers, financial institutions, partners, consumers and other key stakeholders;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international expansion plans and ability to expand internationally; and</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those factors described in the sections titled “Risk Factors” and “Management’s Discussion and Analysis of Financial Conditions and Results of Operations” in our Annual Report on Form 10-K for the year ended December 31, 2024, and the section titled “Management’s Discussion and Analysis of Financial Condition and Results of Operations” in this Quarterly Report.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10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3" w:name="page4"/>
    <w:bookmarkEnd w:id="3"/>
    <w:p>
      <w:pPr>
        <w:jc w:val="both"/>
        <w:ind w:right="20"/>
        <w:spacing w:after="0" w:line="271" w:lineRule="auto"/>
        <w:rPr>
          <w:sz w:val="20"/>
          <w:szCs w:val="20"/>
          <w:color w:val="auto"/>
        </w:rPr>
      </w:pPr>
      <w:r>
        <w:rPr>
          <w:rFonts w:ascii="Arial" w:cs="Arial" w:eastAsia="Arial" w:hAnsi="Arial"/>
          <w:sz w:val="18"/>
          <w:szCs w:val="18"/>
          <w:color w:val="auto"/>
        </w:rPr>
        <w:t>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02" w:lineRule="exact"/>
        <w:rPr>
          <w:sz w:val="20"/>
          <w:szCs w:val="20"/>
          <w:color w:val="auto"/>
        </w:rPr>
      </w:pPr>
    </w:p>
    <w:p>
      <w:pPr>
        <w:jc w:val="both"/>
        <w:ind w:right="20" w:firstLine="494"/>
        <w:spacing w:after="0" w:line="246" w:lineRule="auto"/>
        <w:rPr>
          <w:sz w:val="20"/>
          <w:szCs w:val="20"/>
          <w:color w:val="auto"/>
        </w:rPr>
      </w:pPr>
      <w:r>
        <w:rPr>
          <w:rFonts w:ascii="Arial" w:cs="Arial" w:eastAsia="Arial" w:hAnsi="Arial"/>
          <w:sz w:val="18"/>
          <w:szCs w:val="18"/>
          <w:color w:val="auto"/>
        </w:rPr>
        <w:t>In this report, unless the context requires otherwise, all references to “we,” “our,” “us,” “Paymentus,” and the “Company” refer to Paymentus Holdings, Inc., and where appropriate its consolidated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CONDENSED CONSOLIDATED BALANCE SHEETS</w:t>
      </w:r>
    </w:p>
    <w:p>
      <w:pPr>
        <w:ind w:left="3580"/>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8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81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245,849</w:t>
            </w:r>
          </w:p>
        </w:tc>
        <w:tc>
          <w:tcPr>
            <w:tcW w:w="8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205,900</w:t>
            </w:r>
          </w:p>
        </w:tc>
        <w:tc>
          <w:tcPr>
            <w:tcW w:w="100" w:type="dxa"/>
            <w:vAlign w:val="bottom"/>
            <w:shd w:val="clear" w:color="auto" w:fill="CFF0FC"/>
          </w:tcPr>
          <w:p>
            <w:pPr>
              <w:spacing w:after="0"/>
              <w:rPr>
                <w:sz w:val="17"/>
                <w:szCs w:val="17"/>
                <w:color w:val="auto"/>
              </w:rPr>
            </w:pPr>
          </w:p>
        </w:tc>
      </w:tr>
      <w:tr>
        <w:trPr>
          <w:trHeight w:val="202"/>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Restricted cash and cash equivalents</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3,799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3,511</w:t>
            </w:r>
          </w:p>
        </w:tc>
        <w:tc>
          <w:tcPr>
            <w:tcW w:w="100" w:type="dxa"/>
            <w:vAlign w:val="bottom"/>
          </w:tcPr>
          <w:p>
            <w:pPr>
              <w:spacing w:after="0"/>
              <w:rPr>
                <w:sz w:val="17"/>
                <w:szCs w:val="17"/>
                <w:color w:val="auto"/>
              </w:rPr>
            </w:pPr>
          </w:p>
        </w:tc>
      </w:tr>
      <w:tr>
        <w:trPr>
          <w:trHeight w:val="184"/>
        </w:trPr>
        <w:tc>
          <w:tcPr>
            <w:tcW w:w="810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rPr>
              <w:t>Accounts and other receivables, net of allowance for expected credit losses of $122 and $257,</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81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99,985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119,816</w:t>
            </w:r>
          </w:p>
        </w:tc>
        <w:tc>
          <w:tcPr>
            <w:tcW w:w="100" w:type="dxa"/>
            <w:vAlign w:val="bottom"/>
            <w:shd w:val="clear" w:color="auto" w:fill="CFF0FC"/>
          </w:tcPr>
          <w:p>
            <w:pPr>
              <w:spacing w:after="0"/>
              <w:rPr>
                <w:sz w:val="19"/>
                <w:szCs w:val="19"/>
                <w:color w:val="auto"/>
              </w:rPr>
            </w:pPr>
          </w:p>
        </w:tc>
      </w:tr>
      <w:tr>
        <w:trPr>
          <w:trHeight w:val="203"/>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7"/>
                <w:szCs w:val="17"/>
                <w:color w:val="auto"/>
              </w:rPr>
            </w:pPr>
          </w:p>
        </w:tc>
        <w:tc>
          <w:tcPr>
            <w:tcW w:w="1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3,356</w:t>
            </w:r>
          </w:p>
        </w:tc>
        <w:tc>
          <w:tcPr>
            <w:tcW w:w="100" w:type="dxa"/>
            <w:vAlign w:val="bottom"/>
          </w:tcPr>
          <w:p>
            <w:pPr>
              <w:spacing w:after="0"/>
              <w:rPr>
                <w:sz w:val="17"/>
                <w:szCs w:val="17"/>
                <w:color w:val="auto"/>
              </w:rPr>
            </w:pPr>
          </w:p>
        </w:tc>
      </w:tr>
      <w:tr>
        <w:trPr>
          <w:trHeight w:val="203"/>
        </w:trPr>
        <w:tc>
          <w:tcPr>
            <w:tcW w:w="810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11,880</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00" w:type="dxa"/>
            <w:vAlign w:val="bottom"/>
          </w:tcPr>
          <w:p>
            <w:pPr>
              <w:ind w:left="420"/>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361,513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345,641</w:t>
            </w: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1,061</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1,157</w:t>
            </w:r>
          </w:p>
        </w:tc>
        <w:tc>
          <w:tcPr>
            <w:tcW w:w="100" w:type="dxa"/>
            <w:vAlign w:val="bottom"/>
            <w:shd w:val="clear" w:color="auto" w:fill="CFF0FC"/>
          </w:tcPr>
          <w:p>
            <w:pPr>
              <w:spacing w:after="0"/>
              <w:rPr>
                <w:sz w:val="17"/>
                <w:szCs w:val="17"/>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Capitalized internal-use software development costs, net</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68,313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67,375</w:t>
            </w: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16,938</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19,076</w:t>
            </w:r>
          </w:p>
        </w:tc>
        <w:tc>
          <w:tcPr>
            <w:tcW w:w="100" w:type="dxa"/>
            <w:vAlign w:val="bottom"/>
            <w:shd w:val="clear" w:color="auto" w:fill="CFF0FC"/>
          </w:tcPr>
          <w:p>
            <w:pPr>
              <w:spacing w:after="0"/>
              <w:rPr>
                <w:sz w:val="17"/>
                <w:szCs w:val="17"/>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131,817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131,815</w:t>
            </w:r>
          </w:p>
        </w:tc>
        <w:tc>
          <w:tcPr>
            <w:tcW w:w="100" w:type="dxa"/>
            <w:vAlign w:val="bottom"/>
          </w:tcPr>
          <w:p>
            <w:pPr>
              <w:spacing w:after="0"/>
              <w:rPr>
                <w:sz w:val="17"/>
                <w:szCs w:val="17"/>
                <w:color w:val="auto"/>
              </w:rPr>
            </w:pPr>
          </w:p>
        </w:tc>
      </w:tr>
      <w:tr>
        <w:trPr>
          <w:trHeight w:val="202"/>
        </w:trPr>
        <w:tc>
          <w:tcPr>
            <w:tcW w:w="8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7,330</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7,801</w:t>
            </w:r>
          </w:p>
        </w:tc>
        <w:tc>
          <w:tcPr>
            <w:tcW w:w="100" w:type="dxa"/>
            <w:vAlign w:val="bottom"/>
            <w:shd w:val="clear" w:color="auto" w:fill="CFF0FC"/>
          </w:tcPr>
          <w:p>
            <w:pPr>
              <w:spacing w:after="0"/>
              <w:rPr>
                <w:sz w:val="17"/>
                <w:szCs w:val="17"/>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Deferred tax asset</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1,380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100" w:type="dxa"/>
            <w:vAlign w:val="bottom"/>
          </w:tcPr>
          <w:p>
            <w:pPr>
              <w:spacing w:after="0"/>
              <w:rPr>
                <w:sz w:val="17"/>
                <w:szCs w:val="17"/>
                <w:color w:val="auto"/>
              </w:rPr>
            </w:pPr>
          </w:p>
        </w:tc>
      </w:tr>
      <w:tr>
        <w:trPr>
          <w:trHeight w:val="203"/>
        </w:trPr>
        <w:tc>
          <w:tcPr>
            <w:tcW w:w="8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assets, less current portion</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2,536</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00" w:type="dxa"/>
            <w:vAlign w:val="bottom"/>
          </w:tcPr>
          <w:p>
            <w:pPr>
              <w:ind w:left="42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590,888</w:t>
            </w:r>
          </w:p>
        </w:tc>
        <w:tc>
          <w:tcPr>
            <w:tcW w:w="80" w:type="dxa"/>
            <w:vAlign w:val="bottom"/>
          </w:tcPr>
          <w:p>
            <w:pPr>
              <w:spacing w:after="0"/>
              <w:rPr>
                <w:sz w:val="17"/>
                <w:szCs w:val="17"/>
                <w:color w:val="auto"/>
              </w:rPr>
            </w:pPr>
          </w:p>
        </w:tc>
        <w:tc>
          <w:tcPr>
            <w:tcW w:w="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576,247</w:t>
            </w:r>
          </w:p>
        </w:tc>
        <w:tc>
          <w:tcPr>
            <w:tcW w:w="100" w:type="dxa"/>
            <w:vAlign w:val="bottom"/>
          </w:tcPr>
          <w:p>
            <w:pPr>
              <w:spacing w:after="0"/>
              <w:rPr>
                <w:sz w:val="17"/>
                <w:szCs w:val="17"/>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1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55,664</w:t>
            </w:r>
          </w:p>
        </w:tc>
        <w:tc>
          <w:tcPr>
            <w:tcW w:w="8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49,871</w:t>
            </w:r>
          </w:p>
        </w:tc>
        <w:tc>
          <w:tcPr>
            <w:tcW w:w="100" w:type="dxa"/>
            <w:vAlign w:val="bottom"/>
            <w:shd w:val="clear" w:color="auto" w:fill="CFF0FC"/>
          </w:tcPr>
          <w:p>
            <w:pPr>
              <w:spacing w:after="0"/>
              <w:rPr>
                <w:sz w:val="17"/>
                <w:szCs w:val="17"/>
                <w:color w:val="auto"/>
              </w:rPr>
            </w:pPr>
          </w:p>
        </w:tc>
      </w:tr>
      <w:tr>
        <w:trPr>
          <w:trHeight w:val="203"/>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18,513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26,462</w:t>
            </w: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2,097</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2,090</w:t>
            </w:r>
          </w:p>
        </w:tc>
        <w:tc>
          <w:tcPr>
            <w:tcW w:w="100" w:type="dxa"/>
            <w:vAlign w:val="bottom"/>
            <w:shd w:val="clear" w:color="auto" w:fill="CFF0FC"/>
          </w:tcPr>
          <w:p>
            <w:pPr>
              <w:spacing w:after="0"/>
              <w:rPr>
                <w:sz w:val="17"/>
                <w:szCs w:val="17"/>
                <w:color w:val="auto"/>
              </w:rPr>
            </w:pPr>
          </w:p>
        </w:tc>
      </w:tr>
      <w:tr>
        <w:trPr>
          <w:trHeight w:val="203"/>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3,375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2,937</w:t>
            </w:r>
          </w:p>
        </w:tc>
        <w:tc>
          <w:tcPr>
            <w:tcW w:w="100" w:type="dxa"/>
            <w:vAlign w:val="bottom"/>
          </w:tcPr>
          <w:p>
            <w:pPr>
              <w:spacing w:after="0"/>
              <w:rPr>
                <w:sz w:val="17"/>
                <w:szCs w:val="17"/>
                <w:color w:val="auto"/>
              </w:rPr>
            </w:pPr>
          </w:p>
        </w:tc>
      </w:tr>
      <w:tr>
        <w:trPr>
          <w:trHeight w:val="203"/>
        </w:trPr>
        <w:tc>
          <w:tcPr>
            <w:tcW w:w="810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Income tax payable</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1,327</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00" w:type="dxa"/>
            <w:vAlign w:val="bottom"/>
          </w:tcPr>
          <w:p>
            <w:pPr>
              <w:ind w:left="420"/>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80,976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81,550</w:t>
            </w: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 less current portion</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5,809</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6,318</w:t>
            </w:r>
          </w:p>
        </w:tc>
        <w:tc>
          <w:tcPr>
            <w:tcW w:w="100" w:type="dxa"/>
            <w:vAlign w:val="bottom"/>
            <w:shd w:val="clear" w:color="auto" w:fill="CFF0FC"/>
          </w:tcPr>
          <w:p>
            <w:pPr>
              <w:spacing w:after="0"/>
              <w:rPr>
                <w:sz w:val="17"/>
                <w:szCs w:val="17"/>
                <w:color w:val="auto"/>
              </w:rPr>
            </w:pPr>
          </w:p>
        </w:tc>
      </w:tr>
      <w:tr>
        <w:trPr>
          <w:trHeight w:val="202"/>
        </w:trPr>
        <w:tc>
          <w:tcPr>
            <w:tcW w:w="8100" w:type="dxa"/>
            <w:vAlign w:val="bottom"/>
          </w:tcPr>
          <w:p>
            <w:pPr>
              <w:spacing w:after="0" w:line="202" w:lineRule="exact"/>
              <w:rPr>
                <w:sz w:val="20"/>
                <w:szCs w:val="20"/>
                <w:color w:val="auto"/>
              </w:rPr>
            </w:pPr>
            <w:r>
              <w:rPr>
                <w:rFonts w:ascii="Arial" w:cs="Arial" w:eastAsia="Arial" w:hAnsi="Arial"/>
                <w:sz w:val="18"/>
                <w:szCs w:val="18"/>
                <w:color w:val="auto"/>
              </w:rPr>
              <w:t>Contract liabilities, less current portion</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2,746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2,783</w:t>
            </w: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and other liabilities, less current portion</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962</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8100" w:type="dxa"/>
            <w:vAlign w:val="bottom"/>
            <w:tcBorders>
              <w:top w:val="single" w:sz="8" w:color="CFF0FC"/>
            </w:tcBorders>
          </w:tcPr>
          <w:p>
            <w:pPr>
              <w:ind w:left="420"/>
              <w:spacing w:after="0" w:line="196" w:lineRule="exact"/>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90,493</w:t>
            </w:r>
          </w:p>
        </w:tc>
        <w:tc>
          <w:tcPr>
            <w:tcW w:w="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90,651</w:t>
            </w:r>
          </w:p>
        </w:tc>
        <w:tc>
          <w:tcPr>
            <w:tcW w:w="100" w:type="dxa"/>
            <w:vAlign w:val="bottom"/>
            <w:tcBorders>
              <w:top w:val="single" w:sz="8" w:color="CFF0FC"/>
            </w:tcBorders>
          </w:tcPr>
          <w:p>
            <w:pPr>
              <w:spacing w:after="0"/>
              <w:rPr>
                <w:sz w:val="17"/>
                <w:szCs w:val="17"/>
                <w:color w:val="auto"/>
              </w:rPr>
            </w:pPr>
          </w:p>
        </w:tc>
      </w:tr>
      <w:tr>
        <w:trPr>
          <w:trHeight w:val="196"/>
        </w:trPr>
        <w:tc>
          <w:tcPr>
            <w:tcW w:w="8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8100" w:type="dxa"/>
            <w:vAlign w:val="bottom"/>
          </w:tcPr>
          <w:p>
            <w:pPr>
              <w:ind w:left="220"/>
              <w:spacing w:after="0" w:line="183" w:lineRule="exact"/>
              <w:rPr>
                <w:sz w:val="20"/>
                <w:szCs w:val="20"/>
                <w:color w:val="auto"/>
              </w:rPr>
            </w:pPr>
            <w:r>
              <w:rPr>
                <w:rFonts w:ascii="Arial" w:cs="Arial" w:eastAsia="Arial" w:hAnsi="Arial"/>
                <w:sz w:val="18"/>
                <w:szCs w:val="18"/>
                <w:color w:val="auto"/>
              </w:rPr>
              <w:t>Class A common stock, $0.0001 par value per share, 883,950,000 shares authorized as of March</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31, 2025 and December 31, 2024; 35,090,301 and 32,136,989 shares issued and outstanding as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100" w:type="dxa"/>
            <w:vAlign w:val="bottom"/>
          </w:tcPr>
          <w:p>
            <w:pPr>
              <w:ind w:left="220"/>
              <w:spacing w:after="0"/>
              <w:rPr>
                <w:sz w:val="20"/>
                <w:szCs w:val="20"/>
                <w:color w:val="auto"/>
              </w:rPr>
            </w:pPr>
            <w:r>
              <w:rPr>
                <w:rFonts w:ascii="Arial" w:cs="Arial" w:eastAsia="Arial" w:hAnsi="Arial"/>
                <w:sz w:val="18"/>
                <w:szCs w:val="18"/>
                <w:color w:val="auto"/>
              </w:rPr>
              <w:t>of March 31, 2025 and December 31, 2024, respectively</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184"/>
        </w:trPr>
        <w:tc>
          <w:tcPr>
            <w:tcW w:w="810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rPr>
              <w:t>Class B common stock, $0.0001 par value per share, 111,050,000 shares authorized as of March</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1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31, 2025 and December 31, 2024; 90,034,121 and 92,699,294 shares issued and outstanding as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81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of March 31, 2025 and December 31, 2024, respectively</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r>
      <w:tr>
        <w:trPr>
          <w:trHeight w:val="203"/>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390,944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389,904</w:t>
            </w:r>
          </w:p>
        </w:tc>
        <w:tc>
          <w:tcPr>
            <w:tcW w:w="100" w:type="dxa"/>
            <w:vAlign w:val="bottom"/>
          </w:tcPr>
          <w:p>
            <w:pPr>
              <w:spacing w:after="0"/>
              <w:rPr>
                <w:sz w:val="17"/>
                <w:szCs w:val="17"/>
                <w:color w:val="auto"/>
              </w:rPr>
            </w:pPr>
          </w:p>
        </w:tc>
      </w:tr>
      <w:tr>
        <w:trPr>
          <w:trHeight w:val="203"/>
        </w:trPr>
        <w:tc>
          <w:tcPr>
            <w:tcW w:w="810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(287)</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(233)</w:t>
            </w:r>
          </w:p>
        </w:tc>
      </w:tr>
      <w:tr>
        <w:trPr>
          <w:trHeight w:val="203"/>
        </w:trPr>
        <w:tc>
          <w:tcPr>
            <w:tcW w:w="810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109,726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95,913</w:t>
            </w:r>
          </w:p>
        </w:tc>
        <w:tc>
          <w:tcPr>
            <w:tcW w:w="100" w:type="dxa"/>
            <w:vAlign w:val="bottom"/>
          </w:tcPr>
          <w:p>
            <w:pPr>
              <w:spacing w:after="0"/>
              <w:rPr>
                <w:sz w:val="17"/>
                <w:szCs w:val="17"/>
                <w:color w:val="auto"/>
              </w:rPr>
            </w:pPr>
          </w:p>
        </w:tc>
      </w:tr>
      <w:tr>
        <w:trPr>
          <w:trHeight w:val="196"/>
        </w:trPr>
        <w:tc>
          <w:tcPr>
            <w:tcW w:w="8100" w:type="dxa"/>
            <w:vAlign w:val="bottom"/>
            <w:tcBorders>
              <w:bottom w:val="single" w:sz="8" w:color="CFF0FC"/>
            </w:tcBorders>
            <w:shd w:val="clear" w:color="auto" w:fill="CFF0FC"/>
          </w:tcPr>
          <w:p>
            <w:pPr>
              <w:ind w:left="420"/>
              <w:spacing w:after="0" w:line="196"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500,395</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485,596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00" w:type="dxa"/>
            <w:vAlign w:val="bottom"/>
          </w:tcPr>
          <w:p>
            <w:pPr>
              <w:ind w:left="4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590,888</w:t>
            </w:r>
          </w:p>
        </w:tc>
        <w:tc>
          <w:tcPr>
            <w:tcW w:w="80" w:type="dxa"/>
            <w:vAlign w:val="bottom"/>
          </w:tcPr>
          <w:p>
            <w:pPr>
              <w:spacing w:after="0"/>
              <w:rPr>
                <w:sz w:val="17"/>
                <w:szCs w:val="17"/>
                <w:color w:val="auto"/>
              </w:rPr>
            </w:pPr>
          </w:p>
        </w:tc>
        <w:tc>
          <w:tcPr>
            <w:tcW w:w="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576,247</w:t>
            </w:r>
          </w:p>
        </w:tc>
        <w:tc>
          <w:tcPr>
            <w:tcW w:w="100" w:type="dxa"/>
            <w:vAlign w:val="bottom"/>
          </w:tcPr>
          <w:p>
            <w:pPr>
              <w:spacing w:after="0"/>
              <w:rPr>
                <w:sz w:val="17"/>
                <w:szCs w:val="17"/>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-4354195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-3317240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-3317240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-2253615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-1731010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8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275,235</w:t>
            </w:r>
          </w:p>
        </w:tc>
        <w:tc>
          <w:tcPr>
            <w:tcW w:w="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184,875</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209,211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132,150</w:t>
            </w:r>
          </w:p>
        </w:tc>
        <w:tc>
          <w:tcPr>
            <w:tcW w:w="100" w:type="dxa"/>
            <w:vAlign w:val="bottom"/>
          </w:tcPr>
          <w:p>
            <w:pPr>
              <w:spacing w:after="0"/>
              <w:rPr>
                <w:sz w:val="17"/>
                <w:szCs w:val="17"/>
                <w:color w:val="auto"/>
              </w:rPr>
            </w:pPr>
          </w:p>
        </w:tc>
      </w:tr>
      <w:tr>
        <w:trPr>
          <w:trHeight w:val="196"/>
        </w:trPr>
        <w:tc>
          <w:tcPr>
            <w:tcW w:w="78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66,024</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52,725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15,101</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12,051</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26,051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23,239</w:t>
            </w:r>
          </w:p>
        </w:tc>
        <w:tc>
          <w:tcPr>
            <w:tcW w:w="100" w:type="dxa"/>
            <w:vAlign w:val="bottom"/>
          </w:tcPr>
          <w:p>
            <w:pPr>
              <w:spacing w:after="0"/>
              <w:rPr>
                <w:sz w:val="17"/>
                <w:szCs w:val="17"/>
                <w:color w:val="auto"/>
              </w:rPr>
            </w:pPr>
          </w:p>
        </w:tc>
      </w:tr>
      <w:tr>
        <w:trPr>
          <w:trHeight w:val="203"/>
        </w:trPr>
        <w:tc>
          <w:tcPr>
            <w:tcW w:w="7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9,183</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40" w:type="dxa"/>
            <w:vAlign w:val="bottom"/>
          </w:tcPr>
          <w:p>
            <w:pPr>
              <w:ind w:left="40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50,335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44,382</w:t>
            </w:r>
          </w:p>
        </w:tc>
        <w:tc>
          <w:tcPr>
            <w:tcW w:w="100" w:type="dxa"/>
            <w:vAlign w:val="bottom"/>
          </w:tcPr>
          <w:p>
            <w:pPr>
              <w:spacing w:after="0"/>
              <w:rPr>
                <w:sz w:val="17"/>
                <w:szCs w:val="17"/>
                <w:color w:val="auto"/>
              </w:rPr>
            </w:pPr>
          </w:p>
        </w:tc>
      </w:tr>
      <w:tr>
        <w:trPr>
          <w:trHeight w:val="196"/>
        </w:trPr>
        <w:tc>
          <w:tcPr>
            <w:tcW w:w="7840" w:type="dxa"/>
            <w:vAlign w:val="bottom"/>
            <w:tcBorders>
              <w:bottom w:val="single" w:sz="8" w:color="CFF0FC"/>
            </w:tcBorders>
            <w:shd w:val="clear" w:color="auto" w:fill="CFF0FC"/>
          </w:tcPr>
          <w:p>
            <w:pPr>
              <w:ind w:left="400"/>
              <w:spacing w:after="0" w:line="196" w:lineRule="exact"/>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15,689</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40" w:type="dxa"/>
            <w:vAlign w:val="bottom"/>
          </w:tcPr>
          <w:p>
            <w:pPr>
              <w:ind w:left="200"/>
              <w:spacing w:after="0" w:line="196" w:lineRule="exact"/>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2,062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2,186</w:t>
            </w:r>
          </w:p>
        </w:tc>
        <w:tc>
          <w:tcPr>
            <w:tcW w:w="100" w:type="dxa"/>
            <w:vAlign w:val="bottom"/>
          </w:tcPr>
          <w:p>
            <w:pPr>
              <w:spacing w:after="0"/>
              <w:rPr>
                <w:sz w:val="17"/>
                <w:szCs w:val="17"/>
                <w:color w:val="auto"/>
              </w:rPr>
            </w:pPr>
          </w:p>
        </w:tc>
      </w:tr>
      <w:tr>
        <w:trPr>
          <w:trHeight w:val="203"/>
        </w:trPr>
        <w:tc>
          <w:tcPr>
            <w:tcW w:w="7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40" w:type="dxa"/>
            <w:vAlign w:val="bottom"/>
          </w:tcPr>
          <w:p>
            <w:pPr>
              <w:ind w:left="400"/>
              <w:spacing w:after="0" w:line="196" w:lineRule="exact"/>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17,801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10,760</w:t>
            </w: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(3,988)</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(3,534)</w:t>
            </w:r>
          </w:p>
        </w:tc>
      </w:tr>
      <w:tr>
        <w:trPr>
          <w:trHeight w:val="196"/>
        </w:trPr>
        <w:tc>
          <w:tcPr>
            <w:tcW w:w="7840" w:type="dxa"/>
            <w:vAlign w:val="bottom"/>
            <w:tcBorders>
              <w:top w:val="single" w:sz="8" w:color="CFF0FC"/>
            </w:tcBorders>
          </w:tcPr>
          <w:p>
            <w:pPr>
              <w:ind w:left="400"/>
              <w:spacing w:after="0" w:line="196" w:lineRule="exact"/>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13,813</w:t>
            </w:r>
          </w:p>
        </w:tc>
        <w:tc>
          <w:tcPr>
            <w:tcW w:w="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7,226</w:t>
            </w:r>
          </w:p>
        </w:tc>
        <w:tc>
          <w:tcPr>
            <w:tcW w:w="100" w:type="dxa"/>
            <w:vAlign w:val="bottom"/>
            <w:tcBorders>
              <w:top w:val="single" w:sz="8" w:color="CFF0FC"/>
            </w:tcBorders>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84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Net income per share</w:t>
            </w: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840" w:type="dxa"/>
            <w:vAlign w:val="bottom"/>
          </w:tcPr>
          <w:p>
            <w:pPr>
              <w:ind w:left="400"/>
              <w:spacing w:after="0" w:line="202" w:lineRule="exact"/>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0.11</w:t>
            </w:r>
          </w:p>
        </w:tc>
        <w:tc>
          <w:tcPr>
            <w:tcW w:w="80" w:type="dxa"/>
            <w:vAlign w:val="bottom"/>
          </w:tcPr>
          <w:p>
            <w:pPr>
              <w:spacing w:after="0"/>
              <w:rPr>
                <w:sz w:val="17"/>
                <w:szCs w:val="17"/>
                <w:color w:val="auto"/>
              </w:rPr>
            </w:pPr>
          </w:p>
        </w:tc>
        <w:tc>
          <w:tcPr>
            <w:tcW w:w="3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0.11</w:t>
            </w:r>
          </w:p>
        </w:tc>
        <w:tc>
          <w:tcPr>
            <w:tcW w:w="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0.06</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number of shares used to compute net income per share</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124,941,781</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123,945,778</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400"/>
              <w:spacing w:after="0" w:line="202" w:lineRule="exact"/>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128,801,974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126,917,654</w:t>
            </w: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Comprehensive income</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400"/>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13,813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7,226</w:t>
            </w: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Foreign currency translation adjustments, net of tax</w:t>
            </w:r>
          </w:p>
        </w:tc>
        <w:tc>
          <w:tcPr>
            <w:tcW w:w="2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(54)</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(42)</w:t>
            </w:r>
          </w:p>
        </w:tc>
      </w:tr>
      <w:tr>
        <w:trPr>
          <w:trHeight w:val="196"/>
        </w:trPr>
        <w:tc>
          <w:tcPr>
            <w:tcW w:w="7840" w:type="dxa"/>
            <w:vAlign w:val="bottom"/>
            <w:tcBorders>
              <w:top w:val="single" w:sz="8" w:color="CFF0FC"/>
            </w:tcBorders>
          </w:tcPr>
          <w:p>
            <w:pPr>
              <w:ind w:left="400"/>
              <w:spacing w:after="0" w:line="196" w:lineRule="exact"/>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13,759</w:t>
            </w:r>
          </w:p>
        </w:tc>
        <w:tc>
          <w:tcPr>
            <w:tcW w:w="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7,184</w:t>
            </w:r>
          </w:p>
        </w:tc>
        <w:tc>
          <w:tcPr>
            <w:tcW w:w="100" w:type="dxa"/>
            <w:vAlign w:val="bottom"/>
            <w:tcBorders>
              <w:top w:val="single" w:sz="8" w:color="CFF0FC"/>
            </w:tcBorders>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-2811145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-2287905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-2013585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-1748155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-1482090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20"/>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Accumulated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Additional</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7"/>
                <w:szCs w:val="17"/>
                <w:color w:val="auto"/>
              </w:rPr>
            </w:pPr>
          </w:p>
        </w:tc>
        <w:tc>
          <w:tcPr>
            <w:tcW w:w="10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40" w:type="dxa"/>
            <w:vAlign w:val="bottom"/>
            <w:gridSpan w:val="2"/>
            <w:vMerge w:val="restart"/>
          </w:tcPr>
          <w:p>
            <w:pPr>
              <w:jc w:val="right"/>
              <w:ind w:right="16"/>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rPr>
              <w:t>Stockholde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4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Paid-In</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Comprehensive</w:t>
            </w:r>
          </w:p>
        </w:tc>
        <w:tc>
          <w:tcPr>
            <w:tcW w:w="1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3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Shares</w:t>
            </w:r>
          </w:p>
        </w:tc>
        <w:tc>
          <w:tcPr>
            <w:tcW w:w="880" w:type="dxa"/>
            <w:vAlign w:val="bottom"/>
            <w:tcBorders>
              <w:bottom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Capital</w:t>
            </w:r>
          </w:p>
        </w:tc>
        <w:tc>
          <w:tcPr>
            <w:tcW w:w="100" w:type="dxa"/>
            <w:vAlign w:val="bottom"/>
          </w:tcPr>
          <w:p>
            <w:pPr>
              <w:spacing w:after="0"/>
              <w:rPr>
                <w:sz w:val="17"/>
                <w:szCs w:val="17"/>
                <w:color w:val="auto"/>
              </w:rPr>
            </w:pPr>
          </w:p>
        </w:tc>
        <w:tc>
          <w:tcPr>
            <w:tcW w:w="96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w w:val="99"/>
              </w:rPr>
              <w:t>Loss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0"/>
              <w:spacing w:after="0" w:line="196" w:lineRule="exact"/>
              <w:rPr>
                <w:sz w:val="20"/>
                <w:szCs w:val="20"/>
                <w:color w:val="auto"/>
              </w:rPr>
            </w:pPr>
            <w:r>
              <w:rPr>
                <w:rFonts w:ascii="Arial" w:cs="Arial" w:eastAsia="Arial" w:hAnsi="Arial"/>
                <w:sz w:val="18"/>
                <w:szCs w:val="18"/>
                <w:b w:val="1"/>
                <w:bCs w:val="1"/>
                <w:color w:val="auto"/>
                <w:w w:val="98"/>
              </w:rPr>
              <w:t>Equity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December 31, 2024</w:t>
            </w:r>
          </w:p>
        </w:tc>
        <w:tc>
          <w:tcPr>
            <w:tcW w:w="1300" w:type="dxa"/>
            <w:vAlign w:val="bottom"/>
            <w:tcBorders>
              <w:right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124,836,283</w:t>
            </w:r>
          </w:p>
        </w:tc>
        <w:tc>
          <w:tcPr>
            <w:tcW w:w="540" w:type="dxa"/>
            <w:vAlign w:val="bottom"/>
            <w:shd w:val="clear" w:color="auto" w:fill="CFF0FC"/>
          </w:tcPr>
          <w:p>
            <w:pPr>
              <w:jc w:val="right"/>
              <w:ind w:right="356"/>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389,904</w:t>
            </w:r>
          </w:p>
        </w:tc>
        <w:tc>
          <w:tcPr>
            <w:tcW w:w="1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95,913</w:t>
            </w:r>
          </w:p>
        </w:tc>
        <w:tc>
          <w:tcPr>
            <w:tcW w:w="22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(233)</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485,596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w:t>
            </w:r>
          </w:p>
        </w:tc>
        <w:tc>
          <w:tcPr>
            <w:tcW w:w="1300" w:type="dxa"/>
            <w:vAlign w:val="bottom"/>
            <w:tcBorders>
              <w:right w:val="single" w:sz="8" w:color="CFF0FC"/>
            </w:tcBorders>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40" w:type="dxa"/>
            <w:vAlign w:val="bottom"/>
            <w:tcBorders>
              <w:right w:val="single" w:sz="8" w:color="CFF0FC"/>
            </w:tcBorders>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30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33,736</w:t>
            </w:r>
          </w:p>
        </w:tc>
        <w:tc>
          <w:tcPr>
            <w:tcW w:w="54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w:t>
            </w: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20" w:type="dxa"/>
            <w:vAlign w:val="bottom"/>
            <w:gridSpan w:val="2"/>
          </w:tcPr>
          <w:p>
            <w:pPr>
              <w:spacing w:after="0"/>
              <w:rPr>
                <w:sz w:val="20"/>
                <w:szCs w:val="20"/>
                <w:color w:val="auto"/>
              </w:rPr>
            </w:pPr>
            <w:r>
              <w:rPr>
                <w:rFonts w:ascii="Arial" w:cs="Arial" w:eastAsia="Arial" w:hAnsi="Arial"/>
                <w:sz w:val="18"/>
                <w:szCs w:val="18"/>
                <w:color w:val="auto"/>
              </w:rPr>
              <w:t>vesting of restricted stock units</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328,201</w:t>
            </w: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Shares withheld for the withholding tax on</w:t>
            </w:r>
          </w:p>
        </w:tc>
        <w:tc>
          <w:tcPr>
            <w:tcW w:w="1300" w:type="dxa"/>
            <w:vAlign w:val="bottom"/>
            <w:tcBorders>
              <w:right w:val="single" w:sz="8" w:color="CFF0FC"/>
            </w:tcBorders>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40" w:type="dxa"/>
            <w:vAlign w:val="bottom"/>
            <w:tcBorders>
              <w:right w:val="single" w:sz="8" w:color="CFF0FC"/>
            </w:tcBorders>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(73,798)</w:t>
            </w:r>
          </w:p>
        </w:tc>
        <w:tc>
          <w:tcPr>
            <w:tcW w:w="54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(1,943)</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16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auto"/>
              <w:right w:val="single" w:sz="8" w:color="CFF0FC"/>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13,813</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right w:val="single" w:sz="8" w:color="CFF0FC"/>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13,813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line="196" w:lineRule="exact"/>
              <w:rPr>
                <w:sz w:val="20"/>
                <w:szCs w:val="20"/>
                <w:color w:val="auto"/>
              </w:rPr>
            </w:pPr>
            <w:r>
              <w:rPr>
                <w:rFonts w:ascii="Arial" w:cs="Arial" w:eastAsia="Arial" w:hAnsi="Arial"/>
                <w:sz w:val="18"/>
                <w:szCs w:val="18"/>
                <w:b w:val="1"/>
                <w:bCs w:val="1"/>
                <w:color w:val="auto"/>
              </w:rPr>
              <w:t>Balances at March 31, 2025</w:t>
            </w:r>
          </w:p>
        </w:tc>
        <w:tc>
          <w:tcPr>
            <w:tcW w:w="13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125,124,422</w:t>
            </w:r>
          </w:p>
        </w:tc>
        <w:tc>
          <w:tcPr>
            <w:tcW w:w="540" w:type="dxa"/>
            <w:vAlign w:val="bottom"/>
          </w:tcPr>
          <w:p>
            <w:pPr>
              <w:jc w:val="right"/>
              <w:ind w:right="356"/>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390,944</w:t>
            </w:r>
          </w:p>
        </w:tc>
        <w:tc>
          <w:tcPr>
            <w:tcW w:w="1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109,726</w:t>
            </w:r>
          </w:p>
        </w:tc>
        <w:tc>
          <w:tcPr>
            <w:tcW w:w="22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(287)</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500,395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Additional</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7"/>
                <w:szCs w:val="17"/>
                <w:color w:val="auto"/>
              </w:rPr>
            </w:pPr>
          </w:p>
        </w:tc>
        <w:tc>
          <w:tcPr>
            <w:tcW w:w="10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40" w:type="dxa"/>
            <w:vAlign w:val="bottom"/>
            <w:gridSpan w:val="2"/>
            <w:vMerge w:val="restart"/>
          </w:tcPr>
          <w:p>
            <w:pPr>
              <w:jc w:val="right"/>
              <w:ind w:right="36"/>
              <w:spacing w:after="0"/>
              <w:rPr>
                <w:sz w:val="20"/>
                <w:szCs w:val="20"/>
                <w:color w:val="auto"/>
              </w:rPr>
            </w:pPr>
            <w:r>
              <w:rPr>
                <w:rFonts w:ascii="Arial" w:cs="Arial" w:eastAsia="Arial" w:hAnsi="Arial"/>
                <w:sz w:val="18"/>
                <w:szCs w:val="18"/>
                <w:b w:val="1"/>
                <w:bCs w:val="1"/>
                <w:color w:val="auto"/>
              </w:rPr>
              <w:t>Common 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8"/>
              </w:rPr>
              <w:t>Stockholder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4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Paid-In</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Retained</w:t>
            </w: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Comprehensive</w:t>
            </w:r>
          </w:p>
        </w:tc>
        <w:tc>
          <w:tcPr>
            <w:tcW w:w="16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3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Shares</w:t>
            </w:r>
          </w:p>
        </w:tc>
        <w:tc>
          <w:tcPr>
            <w:tcW w:w="880" w:type="dxa"/>
            <w:vAlign w:val="bottom"/>
            <w:tcBorders>
              <w:bottom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Capital</w:t>
            </w:r>
          </w:p>
        </w:tc>
        <w:tc>
          <w:tcPr>
            <w:tcW w:w="100" w:type="dxa"/>
            <w:vAlign w:val="bottom"/>
          </w:tcPr>
          <w:p>
            <w:pPr>
              <w:spacing w:after="0"/>
              <w:rPr>
                <w:sz w:val="17"/>
                <w:szCs w:val="17"/>
                <w:color w:val="auto"/>
              </w:rPr>
            </w:pPr>
          </w:p>
        </w:tc>
        <w:tc>
          <w:tcPr>
            <w:tcW w:w="96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70"/>
              <w:spacing w:after="0" w:line="196" w:lineRule="exact"/>
              <w:rPr>
                <w:sz w:val="20"/>
                <w:szCs w:val="20"/>
                <w:color w:val="auto"/>
              </w:rPr>
            </w:pPr>
            <w:r>
              <w:rPr>
                <w:rFonts w:ascii="Arial" w:cs="Arial" w:eastAsia="Arial" w:hAnsi="Arial"/>
                <w:sz w:val="18"/>
                <w:szCs w:val="18"/>
                <w:b w:val="1"/>
                <w:bCs w:val="1"/>
                <w:color w:val="auto"/>
                <w:w w:val="99"/>
              </w:rPr>
              <w:t>Loss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10"/>
              <w:spacing w:after="0" w:line="196" w:lineRule="exact"/>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December 31, 2023</w:t>
            </w:r>
          </w:p>
        </w:tc>
        <w:tc>
          <w:tcPr>
            <w:tcW w:w="1300" w:type="dxa"/>
            <w:vAlign w:val="bottom"/>
            <w:tcBorders>
              <w:right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123,821,111</w:t>
            </w:r>
          </w:p>
        </w:tc>
        <w:tc>
          <w:tcPr>
            <w:tcW w:w="540" w:type="dxa"/>
            <w:vAlign w:val="bottom"/>
            <w:shd w:val="clear" w:color="auto" w:fill="CFF0FC"/>
          </w:tcPr>
          <w:p>
            <w:pPr>
              <w:jc w:val="right"/>
              <w:ind w:right="376"/>
              <w:spacing w:after="0"/>
              <w:rPr>
                <w:sz w:val="20"/>
                <w:szCs w:val="20"/>
                <w:color w:val="auto"/>
              </w:rPr>
            </w:pPr>
            <w:r>
              <w:rPr>
                <w:rFonts w:ascii="Arial" w:cs="Arial" w:eastAsia="Arial" w:hAnsi="Arial"/>
                <w:sz w:val="15"/>
                <w:szCs w:val="15"/>
                <w:color w:val="auto"/>
                <w:w w:val="71"/>
              </w:rPr>
              <w:t>$</w:t>
            </w:r>
          </w:p>
        </w:tc>
        <w:tc>
          <w:tcPr>
            <w:tcW w:w="34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377,773</w:t>
            </w:r>
          </w:p>
        </w:tc>
        <w:tc>
          <w:tcPr>
            <w:tcW w:w="1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51,744</w:t>
            </w:r>
          </w:p>
        </w:tc>
        <w:tc>
          <w:tcPr>
            <w:tcW w:w="22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87</w:t>
            </w: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429,616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3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2,484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Class A common stock upon</w:t>
            </w:r>
          </w:p>
        </w:tc>
        <w:tc>
          <w:tcPr>
            <w:tcW w:w="1300" w:type="dxa"/>
            <w:vAlign w:val="bottom"/>
            <w:tcBorders>
              <w:right w:val="single" w:sz="8" w:color="CFF0FC"/>
            </w:tcBorders>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40" w:type="dxa"/>
            <w:vAlign w:val="bottom"/>
            <w:tcBorders>
              <w:right w:val="single" w:sz="8" w:color="CFF0FC"/>
            </w:tcBorders>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300" w:type="dxa"/>
            <w:vAlign w:val="bottom"/>
            <w:tcBorders>
              <w:right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69,246</w:t>
            </w:r>
          </w:p>
        </w:tc>
        <w:tc>
          <w:tcPr>
            <w:tcW w:w="54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Issuance of Class A common stock upon</w:t>
            </w: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20" w:type="dxa"/>
            <w:vAlign w:val="bottom"/>
            <w:gridSpan w:val="2"/>
          </w:tcPr>
          <w:p>
            <w:pPr>
              <w:spacing w:after="0"/>
              <w:rPr>
                <w:sz w:val="20"/>
                <w:szCs w:val="20"/>
                <w:color w:val="auto"/>
              </w:rPr>
            </w:pPr>
            <w:r>
              <w:rPr>
                <w:rFonts w:ascii="Arial" w:cs="Arial" w:eastAsia="Arial" w:hAnsi="Arial"/>
                <w:sz w:val="18"/>
                <w:szCs w:val="18"/>
                <w:color w:val="auto"/>
              </w:rPr>
              <w:t>vesting of restricted stock units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235,619</w:t>
            </w: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1300" w:type="dxa"/>
            <w:vAlign w:val="bottom"/>
            <w:tcBorders>
              <w:right w:val="single" w:sz="8" w:color="CFF0FC"/>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7,226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March 31, 2024</w:t>
            </w:r>
          </w:p>
        </w:tc>
        <w:tc>
          <w:tcPr>
            <w:tcW w:w="1300" w:type="dxa"/>
            <w:vAlign w:val="bottom"/>
            <w:tcBorders>
              <w:right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124,125,976</w:t>
            </w:r>
          </w:p>
        </w:tc>
        <w:tc>
          <w:tcPr>
            <w:tcW w:w="540" w:type="dxa"/>
            <w:vAlign w:val="bottom"/>
            <w:shd w:val="clear" w:color="auto" w:fill="CFF0FC"/>
          </w:tcPr>
          <w:p>
            <w:pPr>
              <w:jc w:val="right"/>
              <w:ind w:right="376"/>
              <w:spacing w:after="0"/>
              <w:rPr>
                <w:sz w:val="20"/>
                <w:szCs w:val="20"/>
                <w:color w:val="auto"/>
              </w:rPr>
            </w:pPr>
            <w:r>
              <w:rPr>
                <w:rFonts w:ascii="Arial" w:cs="Arial" w:eastAsia="Arial" w:hAnsi="Arial"/>
                <w:sz w:val="15"/>
                <w:szCs w:val="15"/>
                <w:color w:val="auto"/>
                <w:w w:val="71"/>
              </w:rPr>
              <w:t>$</w:t>
            </w:r>
          </w:p>
        </w:tc>
        <w:tc>
          <w:tcPr>
            <w:tcW w:w="34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380,357</w:t>
            </w:r>
          </w:p>
        </w:tc>
        <w:tc>
          <w:tcPr>
            <w:tcW w:w="1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58,970</w:t>
            </w:r>
          </w:p>
        </w:tc>
        <w:tc>
          <w:tcPr>
            <w:tcW w:w="22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439,384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-2211070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3803650</wp:posOffset>
            </wp:positionH>
            <wp:positionV relativeFrom="paragraph">
              <wp:posOffset>-2211070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-2211070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-2211070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-2211070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-2211070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-24765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-24765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-24765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-24765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-24765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471805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71"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jc w:val="center"/>
        <w:spacing w:after="0" w:line="238"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gridSpan w:val="6"/>
          </w:tcPr>
          <w:p>
            <w:pPr>
              <w:jc w:val="right"/>
              <w:ind w:right="540"/>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7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r>
      <w:tr>
        <w:trPr>
          <w:trHeight w:val="183"/>
        </w:trPr>
        <w:tc>
          <w:tcPr>
            <w:tcW w:w="74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4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Net income</w:t>
            </w:r>
          </w:p>
        </w:tc>
        <w:tc>
          <w:tcPr>
            <w:tcW w:w="1440" w:type="dxa"/>
            <w:vAlign w:val="bottom"/>
            <w:gridSpan w:val="2"/>
          </w:tcPr>
          <w:p>
            <w:pPr>
              <w:jc w:val="right"/>
              <w:ind w:right="841"/>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13,813</w:t>
            </w:r>
          </w:p>
        </w:tc>
        <w:tc>
          <w:tcPr>
            <w:tcW w:w="10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7,226</w:t>
            </w:r>
          </w:p>
        </w:tc>
        <w:tc>
          <w:tcPr>
            <w:tcW w:w="100" w:type="dxa"/>
            <w:vAlign w:val="bottom"/>
          </w:tcPr>
          <w:p>
            <w:pPr>
              <w:spacing w:after="0"/>
              <w:rPr>
                <w:sz w:val="16"/>
                <w:szCs w:val="16"/>
                <w:color w:val="auto"/>
              </w:rPr>
            </w:pPr>
          </w:p>
        </w:tc>
      </w:tr>
      <w:tr>
        <w:trPr>
          <w:trHeight w:val="18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44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8,537</w:t>
            </w:r>
          </w:p>
        </w:tc>
        <w:tc>
          <w:tcPr>
            <w:tcW w:w="100" w:type="dxa"/>
            <w:vAlign w:val="bottom"/>
          </w:tcPr>
          <w:p>
            <w:pPr>
              <w:spacing w:after="0"/>
              <w:rPr>
                <w:sz w:val="16"/>
                <w:szCs w:val="16"/>
                <w:color w:val="auto"/>
              </w:rPr>
            </w:pPr>
          </w:p>
        </w:tc>
      </w:tr>
      <w:tr>
        <w:trPr>
          <w:trHeight w:val="189"/>
        </w:trPr>
        <w:tc>
          <w:tcPr>
            <w:tcW w:w="74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Deferred income taxes</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(1,013)</w:t>
            </w: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6"/>
                <w:szCs w:val="16"/>
                <w:color w:val="auto"/>
              </w:rPr>
            </w:pPr>
          </w:p>
        </w:tc>
      </w:tr>
      <w:tr>
        <w:trPr>
          <w:trHeight w:val="189"/>
        </w:trPr>
        <w:tc>
          <w:tcPr>
            <w:tcW w:w="744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2,457</w:t>
            </w:r>
          </w:p>
        </w:tc>
        <w:tc>
          <w:tcPr>
            <w:tcW w:w="100" w:type="dxa"/>
            <w:vAlign w:val="bottom"/>
          </w:tcPr>
          <w:p>
            <w:pPr>
              <w:spacing w:after="0"/>
              <w:rPr>
                <w:sz w:val="16"/>
                <w:szCs w:val="16"/>
                <w:color w:val="auto"/>
              </w:rPr>
            </w:pPr>
          </w:p>
        </w:tc>
      </w:tr>
      <w:tr>
        <w:trPr>
          <w:trHeight w:val="189"/>
        </w:trPr>
        <w:tc>
          <w:tcPr>
            <w:tcW w:w="74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Amortization of capitalized warrants cost</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FF0FC"/>
          </w:tcPr>
          <w:p>
            <w:pPr>
              <w:spacing w:after="0"/>
              <w:rPr>
                <w:sz w:val="16"/>
                <w:szCs w:val="16"/>
                <w:color w:val="auto"/>
              </w:rPr>
            </w:pPr>
          </w:p>
        </w:tc>
      </w:tr>
      <w:tr>
        <w:trPr>
          <w:trHeight w:val="189"/>
        </w:trPr>
        <w:tc>
          <w:tcPr>
            <w:tcW w:w="7440" w:type="dxa"/>
            <w:vAlign w:val="bottom"/>
          </w:tcPr>
          <w:p>
            <w:pPr>
              <w:ind w:left="160"/>
              <w:spacing w:after="0"/>
              <w:rPr>
                <w:sz w:val="20"/>
                <w:szCs w:val="20"/>
                <w:color w:val="auto"/>
              </w:rPr>
            </w:pPr>
            <w:r>
              <w:rPr>
                <w:rFonts w:ascii="Arial" w:cs="Arial" w:eastAsia="Arial" w:hAnsi="Arial"/>
                <w:sz w:val="16"/>
                <w:szCs w:val="16"/>
                <w:color w:val="auto"/>
              </w:rPr>
              <w:t>Non-cash lease expense</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6"/>
                <w:szCs w:val="16"/>
                <w:color w:val="auto"/>
              </w:rPr>
            </w:pPr>
          </w:p>
        </w:tc>
      </w:tr>
      <w:tr>
        <w:trPr>
          <w:trHeight w:val="189"/>
        </w:trPr>
        <w:tc>
          <w:tcPr>
            <w:tcW w:w="74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Amortization of capitalized contract acquisition cost</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FF0FC"/>
          </w:tcPr>
          <w:p>
            <w:pPr>
              <w:spacing w:after="0"/>
              <w:rPr>
                <w:sz w:val="16"/>
                <w:szCs w:val="16"/>
                <w:color w:val="auto"/>
              </w:rPr>
            </w:pPr>
          </w:p>
        </w:tc>
      </w:tr>
      <w:tr>
        <w:trPr>
          <w:trHeight w:val="189"/>
        </w:trPr>
        <w:tc>
          <w:tcPr>
            <w:tcW w:w="7440" w:type="dxa"/>
            <w:vAlign w:val="bottom"/>
          </w:tcPr>
          <w:p>
            <w:pPr>
              <w:ind w:left="160"/>
              <w:spacing w:after="0"/>
              <w:rPr>
                <w:sz w:val="20"/>
                <w:szCs w:val="20"/>
                <w:color w:val="auto"/>
              </w:rPr>
            </w:pPr>
            <w:r>
              <w:rPr>
                <w:rFonts w:ascii="Arial" w:cs="Arial" w:eastAsia="Arial" w:hAnsi="Arial"/>
                <w:sz w:val="16"/>
                <w:szCs w:val="16"/>
                <w:color w:val="auto"/>
              </w:rPr>
              <w:t>Provision for expected credit losses and credit adjustments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16"/>
                <w:szCs w:val="16"/>
                <w:color w:val="auto"/>
              </w:rPr>
            </w:pPr>
          </w:p>
        </w:tc>
      </w:tr>
      <w:tr>
        <w:trPr>
          <w:trHeight w:val="189"/>
        </w:trPr>
        <w:tc>
          <w:tcPr>
            <w:tcW w:w="74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Other non-cash adjustments</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(213)</w:t>
            </w:r>
          </w:p>
        </w:tc>
      </w:tr>
      <w:tr>
        <w:trPr>
          <w:trHeight w:val="189"/>
        </w:trPr>
        <w:tc>
          <w:tcPr>
            <w:tcW w:w="7440" w:type="dxa"/>
            <w:vAlign w:val="bottom"/>
          </w:tcPr>
          <w:p>
            <w:pPr>
              <w:ind w:left="160"/>
              <w:spacing w:after="0"/>
              <w:rPr>
                <w:sz w:val="20"/>
                <w:szCs w:val="20"/>
                <w:color w:val="auto"/>
              </w:rPr>
            </w:pPr>
            <w:r>
              <w:rPr>
                <w:rFonts w:ascii="Arial" w:cs="Arial" w:eastAsia="Arial" w:hAnsi="Arial"/>
                <w:sz w:val="16"/>
                <w:szCs w:val="16"/>
                <w:color w:val="auto"/>
              </w:rPr>
              <w:t>Change in operating assets and liabilities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4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Accounts and other receivables</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18,386</w:t>
            </w:r>
          </w:p>
        </w:tc>
        <w:tc>
          <w:tcPr>
            <w:tcW w:w="10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(8,637)</w:t>
            </w:r>
          </w:p>
        </w:tc>
      </w:tr>
      <w:tr>
        <w:trPr>
          <w:trHeight w:val="189"/>
        </w:trPr>
        <w:tc>
          <w:tcPr>
            <w:tcW w:w="7440" w:type="dxa"/>
            <w:vAlign w:val="bottom"/>
          </w:tcPr>
          <w:p>
            <w:pPr>
              <w:ind w:left="300"/>
              <w:spacing w:after="0"/>
              <w:rPr>
                <w:sz w:val="20"/>
                <w:szCs w:val="20"/>
                <w:color w:val="auto"/>
              </w:rPr>
            </w:pPr>
            <w:r>
              <w:rPr>
                <w:rFonts w:ascii="Arial" w:cs="Arial" w:eastAsia="Arial" w:hAnsi="Arial"/>
                <w:sz w:val="16"/>
                <w:szCs w:val="16"/>
                <w:color w:val="auto"/>
              </w:rPr>
              <w:t>Prepaid expenses and other assets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(377)</w:t>
            </w:r>
          </w:p>
        </w:tc>
        <w:tc>
          <w:tcPr>
            <w:tcW w:w="34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(993)</w:t>
            </w:r>
          </w:p>
        </w:tc>
      </w:tr>
      <w:tr>
        <w:trPr>
          <w:trHeight w:val="189"/>
        </w:trPr>
        <w:tc>
          <w:tcPr>
            <w:tcW w:w="74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Accounts payable</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5,691</w:t>
            </w:r>
          </w:p>
        </w:tc>
        <w:tc>
          <w:tcPr>
            <w:tcW w:w="10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5,793</w:t>
            </w:r>
          </w:p>
        </w:tc>
        <w:tc>
          <w:tcPr>
            <w:tcW w:w="100" w:type="dxa"/>
            <w:vAlign w:val="bottom"/>
            <w:shd w:val="clear" w:color="auto" w:fill="CFF0FC"/>
          </w:tcPr>
          <w:p>
            <w:pPr>
              <w:spacing w:after="0"/>
              <w:rPr>
                <w:sz w:val="16"/>
                <w:szCs w:val="16"/>
                <w:color w:val="auto"/>
              </w:rPr>
            </w:pPr>
          </w:p>
        </w:tc>
      </w:tr>
      <w:tr>
        <w:trPr>
          <w:trHeight w:val="189"/>
        </w:trPr>
        <w:tc>
          <w:tcPr>
            <w:tcW w:w="7440" w:type="dxa"/>
            <w:vAlign w:val="bottom"/>
          </w:tcPr>
          <w:p>
            <w:pPr>
              <w:ind w:left="300"/>
              <w:spacing w:after="0"/>
              <w:rPr>
                <w:sz w:val="20"/>
                <w:szCs w:val="20"/>
                <w:color w:val="auto"/>
              </w:rPr>
            </w:pPr>
            <w:r>
              <w:rPr>
                <w:rFonts w:ascii="Arial" w:cs="Arial" w:eastAsia="Arial" w:hAnsi="Arial"/>
                <w:sz w:val="16"/>
                <w:szCs w:val="16"/>
                <w:color w:val="auto"/>
              </w:rPr>
              <w:t>Accrued and other liabilities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(7,120)</w:t>
            </w:r>
          </w:p>
        </w:tc>
        <w:tc>
          <w:tcPr>
            <w:tcW w:w="34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(8,166)</w:t>
            </w:r>
          </w:p>
        </w:tc>
      </w:tr>
      <w:tr>
        <w:trPr>
          <w:trHeight w:val="189"/>
        </w:trPr>
        <w:tc>
          <w:tcPr>
            <w:tcW w:w="74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Operating lease liabilities</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(604)</w:t>
            </w: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(541)</w:t>
            </w:r>
          </w:p>
        </w:tc>
      </w:tr>
      <w:tr>
        <w:trPr>
          <w:trHeight w:val="189"/>
        </w:trPr>
        <w:tc>
          <w:tcPr>
            <w:tcW w:w="7440" w:type="dxa"/>
            <w:vAlign w:val="bottom"/>
          </w:tcPr>
          <w:p>
            <w:pPr>
              <w:ind w:left="300"/>
              <w:spacing w:after="0"/>
              <w:rPr>
                <w:sz w:val="20"/>
                <w:szCs w:val="20"/>
                <w:color w:val="auto"/>
              </w:rPr>
            </w:pPr>
            <w:r>
              <w:rPr>
                <w:rFonts w:ascii="Arial" w:cs="Arial" w:eastAsia="Arial" w:hAnsi="Arial"/>
                <w:sz w:val="16"/>
                <w:szCs w:val="16"/>
                <w:color w:val="auto"/>
              </w:rPr>
              <w:t>Contract liabilities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6"/>
                <w:szCs w:val="16"/>
                <w:color w:val="auto"/>
              </w:rPr>
            </w:pPr>
          </w:p>
        </w:tc>
      </w:tr>
      <w:tr>
        <w:trPr>
          <w:trHeight w:val="189"/>
        </w:trPr>
        <w:tc>
          <w:tcPr>
            <w:tcW w:w="74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Income taxes receivable, net of payable</w:t>
            </w:r>
          </w:p>
        </w:tc>
        <w:tc>
          <w:tcPr>
            <w:tcW w:w="4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4,492</w:t>
            </w:r>
          </w:p>
        </w:tc>
        <w:tc>
          <w:tcPr>
            <w:tcW w:w="100" w:type="dxa"/>
            <w:vAlign w:val="bottom"/>
            <w:tcBorders>
              <w:bottom w:val="single" w:sz="8" w:color="CFF0FC"/>
              <w:right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440" w:type="dxa"/>
            <w:vAlign w:val="bottom"/>
          </w:tcPr>
          <w:p>
            <w:pPr>
              <w:ind w:left="38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4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50,441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10,954</w:t>
            </w:r>
          </w:p>
        </w:tc>
        <w:tc>
          <w:tcPr>
            <w:tcW w:w="100" w:type="dxa"/>
            <w:vAlign w:val="bottom"/>
          </w:tcPr>
          <w:p>
            <w:pPr>
              <w:spacing w:after="0"/>
              <w:rPr>
                <w:sz w:val="15"/>
                <w:szCs w:val="15"/>
                <w:color w:val="auto"/>
              </w:rPr>
            </w:pPr>
          </w:p>
        </w:tc>
      </w:tr>
      <w:tr>
        <w:trPr>
          <w:trHeight w:val="183"/>
        </w:trPr>
        <w:tc>
          <w:tcPr>
            <w:tcW w:w="74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4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440" w:type="dxa"/>
            <w:vAlign w:val="bottom"/>
          </w:tcPr>
          <w:p>
            <w:pPr>
              <w:ind w:left="160"/>
              <w:spacing w:after="0"/>
              <w:rPr>
                <w:sz w:val="20"/>
                <w:szCs w:val="20"/>
                <w:color w:val="auto"/>
              </w:rPr>
            </w:pPr>
            <w:r>
              <w:rPr>
                <w:rFonts w:ascii="Arial" w:cs="Arial" w:eastAsia="Arial" w:hAnsi="Arial"/>
                <w:sz w:val="16"/>
                <w:szCs w:val="16"/>
                <w:color w:val="auto"/>
              </w:rPr>
              <w:t>Purchases of property and equipment</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(60)</w:t>
            </w:r>
          </w:p>
        </w:tc>
        <w:tc>
          <w:tcPr>
            <w:tcW w:w="34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(116)</w:t>
            </w:r>
          </w:p>
        </w:tc>
      </w:tr>
      <w:tr>
        <w:trPr>
          <w:trHeight w:val="189"/>
        </w:trPr>
        <w:tc>
          <w:tcPr>
            <w:tcW w:w="74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Purchases of interest-bearing deposits</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(723)</w:t>
            </w:r>
          </w:p>
        </w:tc>
      </w:tr>
      <w:tr>
        <w:trPr>
          <w:trHeight w:val="189"/>
        </w:trPr>
        <w:tc>
          <w:tcPr>
            <w:tcW w:w="7440" w:type="dxa"/>
            <w:vAlign w:val="bottom"/>
          </w:tcPr>
          <w:p>
            <w:pPr>
              <w:ind w:left="160"/>
              <w:spacing w:after="0"/>
              <w:rPr>
                <w:sz w:val="20"/>
                <w:szCs w:val="20"/>
                <w:color w:val="auto"/>
              </w:rPr>
            </w:pPr>
            <w:r>
              <w:rPr>
                <w:rFonts w:ascii="Arial" w:cs="Arial" w:eastAsia="Arial" w:hAnsi="Arial"/>
                <w:sz w:val="16"/>
                <w:szCs w:val="16"/>
                <w:color w:val="auto"/>
              </w:rPr>
              <w:t>Proceeds from matured interest-bearing deposits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6"/>
                <w:szCs w:val="16"/>
                <w:color w:val="auto"/>
              </w:rPr>
            </w:pPr>
          </w:p>
        </w:tc>
      </w:tr>
      <w:tr>
        <w:trPr>
          <w:trHeight w:val="189"/>
        </w:trPr>
        <w:tc>
          <w:tcPr>
            <w:tcW w:w="74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Capitalized internal-use software development costs</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(9,278)</w:t>
            </w: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(9,276)</w:t>
            </w:r>
          </w:p>
        </w:tc>
      </w:tr>
      <w:tr>
        <w:trPr>
          <w:trHeight w:val="20"/>
        </w:trPr>
        <w:tc>
          <w:tcPr>
            <w:tcW w:w="74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440" w:type="dxa"/>
            <w:vAlign w:val="bottom"/>
          </w:tcPr>
          <w:p>
            <w:pPr>
              <w:ind w:left="300"/>
              <w:spacing w:after="0" w:line="183" w:lineRule="exact"/>
              <w:rPr>
                <w:sz w:val="20"/>
                <w:szCs w:val="20"/>
                <w:color w:val="auto"/>
              </w:rPr>
            </w:pPr>
            <w:r>
              <w:rPr>
                <w:rFonts w:ascii="Arial" w:cs="Arial" w:eastAsia="Arial" w:hAnsi="Arial"/>
                <w:sz w:val="16"/>
                <w:szCs w:val="16"/>
                <w:color w:val="auto"/>
              </w:rPr>
              <w:t>Net cash used in investing activities</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(8,287)</w:t>
            </w:r>
          </w:p>
        </w:tc>
        <w:tc>
          <w:tcPr>
            <w:tcW w:w="340" w:type="dxa"/>
            <w:vAlign w:val="bottom"/>
          </w:tcPr>
          <w:p>
            <w:pPr>
              <w:spacing w:after="0"/>
              <w:rPr>
                <w:sz w:val="15"/>
                <w:szCs w:val="15"/>
                <w:color w:val="auto"/>
              </w:rPr>
            </w:pPr>
          </w:p>
        </w:tc>
        <w:tc>
          <w:tcPr>
            <w:tcW w:w="13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(9,513)</w:t>
            </w:r>
          </w:p>
        </w:tc>
      </w:tr>
      <w:tr>
        <w:trPr>
          <w:trHeight w:val="183"/>
        </w:trPr>
        <w:tc>
          <w:tcPr>
            <w:tcW w:w="74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44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440" w:type="dxa"/>
            <w:vAlign w:val="bottom"/>
          </w:tcPr>
          <w:p>
            <w:pPr>
              <w:ind w:left="160"/>
              <w:spacing w:after="0"/>
              <w:rPr>
                <w:sz w:val="20"/>
                <w:szCs w:val="20"/>
                <w:color w:val="auto"/>
              </w:rPr>
            </w:pPr>
            <w:r>
              <w:rPr>
                <w:rFonts w:ascii="Arial" w:cs="Arial" w:eastAsia="Arial" w:hAnsi="Arial"/>
                <w:sz w:val="16"/>
                <w:szCs w:val="16"/>
                <w:color w:val="auto"/>
              </w:rPr>
              <w:t>Proceeds from exercise of stock-based awards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6"/>
                <w:szCs w:val="16"/>
                <w:color w:val="auto"/>
              </w:rPr>
            </w:pPr>
          </w:p>
        </w:tc>
      </w:tr>
      <w:tr>
        <w:trPr>
          <w:trHeight w:val="189"/>
        </w:trPr>
        <w:tc>
          <w:tcPr>
            <w:tcW w:w="74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Payments of taxes withheld on net settled vesting of restricted stock units</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(1,943)</w:t>
            </w:r>
          </w:p>
        </w:tc>
        <w:tc>
          <w:tcPr>
            <w:tcW w:w="3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440" w:type="dxa"/>
            <w:vAlign w:val="bottom"/>
          </w:tcPr>
          <w:p>
            <w:pPr>
              <w:ind w:left="160"/>
              <w:spacing w:after="0"/>
              <w:rPr>
                <w:sz w:val="20"/>
                <w:szCs w:val="20"/>
                <w:color w:val="auto"/>
              </w:rPr>
            </w:pPr>
            <w:r>
              <w:rPr>
                <w:rFonts w:ascii="Arial" w:cs="Arial" w:eastAsia="Arial" w:hAnsi="Arial"/>
                <w:sz w:val="16"/>
                <w:szCs w:val="16"/>
                <w:color w:val="auto"/>
              </w:rPr>
              <w:t>Settlement of holdback liability related to prior acquisitions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(506)</w:t>
            </w:r>
          </w:p>
        </w:tc>
      </w:tr>
      <w:tr>
        <w:trPr>
          <w:trHeight w:val="183"/>
        </w:trPr>
        <w:tc>
          <w:tcPr>
            <w:tcW w:w="7440" w:type="dxa"/>
            <w:vAlign w:val="bottom"/>
            <w:tcBorders>
              <w:top w:val="single" w:sz="8" w:color="CFF0FC"/>
              <w:bottom w:val="single" w:sz="8" w:color="CFF0FC"/>
            </w:tcBorders>
            <w:shd w:val="clear" w:color="auto" w:fill="CFF0FC"/>
          </w:tcPr>
          <w:p>
            <w:pPr>
              <w:ind w:left="300"/>
              <w:spacing w:after="0" w:line="183" w:lineRule="exact"/>
              <w:rPr>
                <w:sz w:val="20"/>
                <w:szCs w:val="20"/>
                <w:color w:val="auto"/>
              </w:rPr>
            </w:pPr>
            <w:r>
              <w:rPr>
                <w:rFonts w:ascii="Arial" w:cs="Arial" w:eastAsia="Arial" w:hAnsi="Arial"/>
                <w:sz w:val="16"/>
                <w:szCs w:val="16"/>
                <w:color w:val="auto"/>
              </w:rPr>
              <w:t>Net cash used in financing activities</w:t>
            </w:r>
          </w:p>
        </w:tc>
        <w:tc>
          <w:tcPr>
            <w:tcW w:w="440" w:type="dxa"/>
            <w:vAlign w:val="bottom"/>
            <w:tcBorders>
              <w:top w:val="single" w:sz="8" w:color="CFF0FC"/>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(1,892)</w:t>
            </w:r>
          </w:p>
        </w:tc>
        <w:tc>
          <w:tcPr>
            <w:tcW w:w="100" w:type="dxa"/>
            <w:vAlign w:val="bottom"/>
            <w:tcBorders>
              <w:top w:val="single" w:sz="8" w:color="CFF0FC"/>
              <w:bottom w:val="single" w:sz="8" w:color="CFF0FC"/>
              <w:right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(406)</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83"/>
        </w:trPr>
        <w:tc>
          <w:tcPr>
            <w:tcW w:w="7440" w:type="dxa"/>
            <w:vAlign w:val="bottom"/>
          </w:tcPr>
          <w:p>
            <w:pPr>
              <w:spacing w:after="0" w:line="183" w:lineRule="exact"/>
              <w:rPr>
                <w:sz w:val="20"/>
                <w:szCs w:val="20"/>
                <w:color w:val="auto"/>
              </w:rPr>
            </w:pPr>
            <w:r>
              <w:rPr>
                <w:rFonts w:ascii="Arial" w:cs="Arial" w:eastAsia="Arial" w:hAnsi="Arial"/>
                <w:sz w:val="16"/>
                <w:szCs w:val="16"/>
                <w:color w:val="auto"/>
              </w:rPr>
              <w:t>Effect of exchange rate changes on Cash and cash equivalents and Restricted cash</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(25)</w:t>
            </w:r>
          </w:p>
        </w:tc>
        <w:tc>
          <w:tcPr>
            <w:tcW w:w="340" w:type="dxa"/>
            <w:vAlign w:val="bottom"/>
          </w:tcPr>
          <w:p>
            <w:pPr>
              <w:spacing w:after="0"/>
              <w:rPr>
                <w:sz w:val="15"/>
                <w:szCs w:val="15"/>
                <w:color w:val="auto"/>
              </w:rPr>
            </w:pPr>
          </w:p>
        </w:tc>
        <w:tc>
          <w:tcPr>
            <w:tcW w:w="13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(78)</w:t>
            </w:r>
          </w:p>
        </w:tc>
      </w:tr>
      <w:tr>
        <w:trPr>
          <w:trHeight w:val="183"/>
        </w:trPr>
        <w:tc>
          <w:tcPr>
            <w:tcW w:w="7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increase in cash, cash equivalents and Restricted cash</w:t>
            </w:r>
          </w:p>
        </w:tc>
        <w:tc>
          <w:tcPr>
            <w:tcW w:w="44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40,237</w:t>
            </w:r>
          </w:p>
        </w:tc>
        <w:tc>
          <w:tcPr>
            <w:tcW w:w="100" w:type="dxa"/>
            <w:vAlign w:val="bottom"/>
            <w:tcBorders>
              <w:right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957</w:t>
            </w:r>
          </w:p>
        </w:tc>
        <w:tc>
          <w:tcPr>
            <w:tcW w:w="100" w:type="dxa"/>
            <w:vAlign w:val="bottom"/>
            <w:shd w:val="clear" w:color="auto" w:fill="CFF0FC"/>
          </w:tcPr>
          <w:p>
            <w:pPr>
              <w:spacing w:after="0"/>
              <w:rPr>
                <w:sz w:val="15"/>
                <w:szCs w:val="15"/>
                <w:color w:val="auto"/>
              </w:rPr>
            </w:pP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Cash and cash equivalents and Restricted cash at the beginning of period</w:t>
            </w:r>
          </w:p>
        </w:tc>
        <w:tc>
          <w:tcPr>
            <w:tcW w:w="4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209,411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183,195</w:t>
            </w:r>
          </w:p>
        </w:tc>
        <w:tc>
          <w:tcPr>
            <w:tcW w:w="100" w:type="dxa"/>
            <w:vAlign w:val="bottom"/>
          </w:tcPr>
          <w:p>
            <w:pPr>
              <w:spacing w:after="0"/>
              <w:rPr>
                <w:sz w:val="16"/>
                <w:szCs w:val="16"/>
                <w:color w:val="auto"/>
              </w:rPr>
            </w:pPr>
          </w:p>
        </w:tc>
      </w:tr>
      <w:tr>
        <w:trPr>
          <w:trHeight w:val="223"/>
        </w:trPr>
        <w:tc>
          <w:tcPr>
            <w:tcW w:w="74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and cash equivalents and Restricted cash at the end of period</w:t>
            </w:r>
          </w:p>
        </w:tc>
        <w:tc>
          <w:tcPr>
            <w:tcW w:w="1440" w:type="dxa"/>
            <w:vAlign w:val="bottom"/>
            <w:gridSpan w:val="2"/>
            <w:shd w:val="clear" w:color="auto" w:fill="CFF0FC"/>
          </w:tcPr>
          <w:p>
            <w:pPr>
              <w:jc w:val="right"/>
              <w:ind w:right="841"/>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249,648</w:t>
            </w:r>
          </w:p>
        </w:tc>
        <w:tc>
          <w:tcPr>
            <w:tcW w:w="10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184,152</w:t>
            </w:r>
          </w:p>
        </w:tc>
        <w:tc>
          <w:tcPr>
            <w:tcW w:w="100" w:type="dxa"/>
            <w:vAlign w:val="bottom"/>
            <w:shd w:val="clear" w:color="auto" w:fill="CFF0FC"/>
          </w:tcPr>
          <w:p>
            <w:pPr>
              <w:spacing w:after="0"/>
              <w:rPr>
                <w:sz w:val="19"/>
                <w:szCs w:val="19"/>
                <w:color w:val="auto"/>
              </w:rPr>
            </w:pPr>
          </w:p>
        </w:tc>
      </w:tr>
      <w:tr>
        <w:trPr>
          <w:trHeight w:val="170"/>
        </w:trPr>
        <w:tc>
          <w:tcPr>
            <w:tcW w:w="744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Reconciliation of Cash and cash equivalents and Restricted Cash:</w:t>
            </w:r>
          </w:p>
        </w:tc>
        <w:tc>
          <w:tcPr>
            <w:tcW w:w="44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74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Cash and cash equivalents at the beginning of period</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205,900</w:t>
            </w:r>
          </w:p>
        </w:tc>
        <w:tc>
          <w:tcPr>
            <w:tcW w:w="10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179,361</w:t>
            </w:r>
          </w:p>
        </w:tc>
        <w:tc>
          <w:tcPr>
            <w:tcW w:w="100" w:type="dxa"/>
            <w:vAlign w:val="bottom"/>
            <w:shd w:val="clear" w:color="auto" w:fill="CFF0FC"/>
          </w:tcPr>
          <w:p>
            <w:pPr>
              <w:spacing w:after="0"/>
              <w:rPr>
                <w:sz w:val="16"/>
                <w:szCs w:val="16"/>
                <w:color w:val="auto"/>
              </w:rPr>
            </w:pPr>
          </w:p>
        </w:tc>
      </w:tr>
      <w:tr>
        <w:trPr>
          <w:trHeight w:val="189"/>
        </w:trPr>
        <w:tc>
          <w:tcPr>
            <w:tcW w:w="744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Restricted cash at the beginning of period</w:t>
            </w:r>
          </w:p>
        </w:tc>
        <w:tc>
          <w:tcPr>
            <w:tcW w:w="44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3,834</w:t>
            </w:r>
          </w:p>
        </w:tc>
        <w:tc>
          <w:tcPr>
            <w:tcW w:w="100" w:type="dxa"/>
            <w:vAlign w:val="bottom"/>
            <w:tcBorders>
              <w:bottom w:val="single" w:sz="8" w:color="CFF0FC"/>
            </w:tcBorders>
          </w:tcPr>
          <w:p>
            <w:pPr>
              <w:spacing w:after="0"/>
              <w:rPr>
                <w:sz w:val="16"/>
                <w:szCs w:val="16"/>
                <w:color w:val="auto"/>
              </w:rPr>
            </w:pPr>
          </w:p>
        </w:tc>
      </w:tr>
      <w:tr>
        <w:trPr>
          <w:trHeight w:val="223"/>
        </w:trPr>
        <w:tc>
          <w:tcPr>
            <w:tcW w:w="74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 and Restricted cash at the beginning of period</w:t>
            </w:r>
          </w:p>
        </w:tc>
        <w:tc>
          <w:tcPr>
            <w:tcW w:w="4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209,411</w:t>
            </w:r>
          </w:p>
        </w:tc>
        <w:tc>
          <w:tcPr>
            <w:tcW w:w="100" w:type="dxa"/>
            <w:vAlign w:val="bottom"/>
            <w:tcBorders>
              <w:bottom w:val="single" w:sz="8" w:color="CFF0FC"/>
              <w:right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183,195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7440" w:type="dxa"/>
            <w:vAlign w:val="bottom"/>
          </w:tcPr>
          <w:p>
            <w:pPr>
              <w:ind w:left="160"/>
              <w:spacing w:after="0" w:line="170" w:lineRule="exact"/>
              <w:rPr>
                <w:sz w:val="20"/>
                <w:szCs w:val="20"/>
                <w:color w:val="auto"/>
              </w:rPr>
            </w:pPr>
            <w:r>
              <w:rPr>
                <w:rFonts w:ascii="Arial" w:cs="Arial" w:eastAsia="Arial" w:hAnsi="Arial"/>
                <w:sz w:val="16"/>
                <w:szCs w:val="16"/>
                <w:color w:val="auto"/>
              </w:rPr>
              <w:t>Cash and cash equivalents at the end of period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jc w:val="right"/>
              <w:spacing w:after="0" w:line="170" w:lineRule="exact"/>
              <w:rPr>
                <w:sz w:val="20"/>
                <w:szCs w:val="20"/>
                <w:color w:val="auto"/>
              </w:rPr>
            </w:pPr>
            <w:r>
              <w:rPr>
                <w:rFonts w:ascii="Arial" w:cs="Arial" w:eastAsia="Arial" w:hAnsi="Arial"/>
                <w:sz w:val="16"/>
                <w:szCs w:val="16"/>
                <w:color w:val="auto"/>
              </w:rPr>
              <w:t>245,849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line="170" w:lineRule="exact"/>
              <w:rPr>
                <w:sz w:val="20"/>
                <w:szCs w:val="20"/>
                <w:color w:val="auto"/>
              </w:rPr>
            </w:pPr>
            <w:r>
              <w:rPr>
                <w:rFonts w:ascii="Arial" w:cs="Arial" w:eastAsia="Arial" w:hAnsi="Arial"/>
                <w:sz w:val="16"/>
                <w:szCs w:val="16"/>
                <w:color w:val="auto"/>
              </w:rPr>
              <w:t>180,138</w:t>
            </w:r>
          </w:p>
        </w:tc>
        <w:tc>
          <w:tcPr>
            <w:tcW w:w="100" w:type="dxa"/>
            <w:vAlign w:val="bottom"/>
          </w:tcPr>
          <w:p>
            <w:pPr>
              <w:spacing w:after="0"/>
              <w:rPr>
                <w:sz w:val="14"/>
                <w:szCs w:val="14"/>
                <w:color w:val="auto"/>
              </w:rPr>
            </w:pPr>
          </w:p>
        </w:tc>
      </w:tr>
      <w:tr>
        <w:trPr>
          <w:trHeight w:val="189"/>
        </w:trPr>
        <w:tc>
          <w:tcPr>
            <w:tcW w:w="74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Restricted cash at the end of period</w:t>
            </w:r>
          </w:p>
        </w:tc>
        <w:tc>
          <w:tcPr>
            <w:tcW w:w="4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3,799</w:t>
            </w:r>
          </w:p>
        </w:tc>
        <w:tc>
          <w:tcPr>
            <w:tcW w:w="100" w:type="dxa"/>
            <w:vAlign w:val="bottom"/>
            <w:tcBorders>
              <w:bottom w:val="single" w:sz="8" w:color="CFF0FC"/>
              <w:right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4,014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440" w:type="dxa"/>
            <w:vAlign w:val="bottom"/>
          </w:tcPr>
          <w:p>
            <w:pPr>
              <w:spacing w:after="0" w:line="183" w:lineRule="exact"/>
              <w:rPr>
                <w:sz w:val="20"/>
                <w:szCs w:val="20"/>
                <w:color w:val="auto"/>
              </w:rPr>
            </w:pPr>
            <w:r>
              <w:rPr>
                <w:rFonts w:ascii="Arial" w:cs="Arial" w:eastAsia="Arial" w:hAnsi="Arial"/>
                <w:sz w:val="16"/>
                <w:szCs w:val="16"/>
                <w:color w:val="auto"/>
              </w:rPr>
              <w:t>Cash and cash equivalents and Restricted cash at the end of period</w:t>
            </w:r>
          </w:p>
        </w:tc>
        <w:tc>
          <w:tcPr>
            <w:tcW w:w="1440" w:type="dxa"/>
            <w:vAlign w:val="bottom"/>
            <w:gridSpan w:val="2"/>
          </w:tcPr>
          <w:p>
            <w:pPr>
              <w:jc w:val="right"/>
              <w:ind w:right="841"/>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249,648</w:t>
            </w:r>
          </w:p>
        </w:tc>
        <w:tc>
          <w:tcPr>
            <w:tcW w:w="100" w:type="dxa"/>
            <w:vAlign w:val="bottom"/>
          </w:tcPr>
          <w:p>
            <w:pPr>
              <w:spacing w:after="0"/>
              <w:rPr>
                <w:sz w:val="15"/>
                <w:szCs w:val="15"/>
                <w:color w:val="auto"/>
              </w:rPr>
            </w:pP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184,152</w:t>
            </w:r>
          </w:p>
        </w:tc>
        <w:tc>
          <w:tcPr>
            <w:tcW w:w="100" w:type="dxa"/>
            <w:vAlign w:val="bottom"/>
          </w:tcPr>
          <w:p>
            <w:pPr>
              <w:spacing w:after="0"/>
              <w:rPr>
                <w:sz w:val="15"/>
                <w:szCs w:val="15"/>
                <w:color w:val="auto"/>
              </w:rPr>
            </w:pPr>
          </w:p>
        </w:tc>
      </w:tr>
      <w:tr>
        <w:trPr>
          <w:trHeight w:val="20"/>
        </w:trPr>
        <w:tc>
          <w:tcPr>
            <w:tcW w:w="7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44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4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440" w:type="dxa"/>
            <w:vAlign w:val="bottom"/>
          </w:tcPr>
          <w:p>
            <w:pPr>
              <w:ind w:left="160"/>
              <w:spacing w:after="0"/>
              <w:rPr>
                <w:sz w:val="20"/>
                <w:szCs w:val="20"/>
                <w:color w:val="auto"/>
              </w:rPr>
            </w:pPr>
            <w:r>
              <w:rPr>
                <w:rFonts w:ascii="Arial" w:cs="Arial" w:eastAsia="Arial" w:hAnsi="Arial"/>
                <w:sz w:val="16"/>
                <w:szCs w:val="16"/>
                <w:color w:val="auto"/>
              </w:rPr>
              <w:t>Cash paid for income taxes, net of refunds</w:t>
            </w:r>
          </w:p>
        </w:tc>
        <w:tc>
          <w:tcPr>
            <w:tcW w:w="1440" w:type="dxa"/>
            <w:vAlign w:val="bottom"/>
            <w:gridSpan w:val="2"/>
          </w:tcPr>
          <w:p>
            <w:pPr>
              <w:jc w:val="right"/>
              <w:ind w:right="841"/>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6"/>
                <w:szCs w:val="16"/>
                <w:color w:val="auto"/>
              </w:rPr>
            </w:pPr>
          </w:p>
        </w:tc>
      </w:tr>
      <w:tr>
        <w:trPr>
          <w:trHeight w:val="189"/>
        </w:trPr>
        <w:tc>
          <w:tcPr>
            <w:tcW w:w="7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investing activities:</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440" w:type="dxa"/>
            <w:vAlign w:val="bottom"/>
          </w:tcPr>
          <w:p>
            <w:pPr>
              <w:ind w:left="160"/>
              <w:spacing w:after="0"/>
              <w:rPr>
                <w:sz w:val="20"/>
                <w:szCs w:val="20"/>
                <w:color w:val="auto"/>
              </w:rPr>
            </w:pPr>
            <w:r>
              <w:rPr>
                <w:rFonts w:ascii="Arial" w:cs="Arial" w:eastAsia="Arial" w:hAnsi="Arial"/>
                <w:sz w:val="16"/>
                <w:szCs w:val="16"/>
                <w:color w:val="auto"/>
              </w:rPr>
              <w:t>Unpaid capitalized internal-use software development costs and equipment in accounts payable</w:t>
            </w:r>
          </w:p>
        </w:tc>
        <w:tc>
          <w:tcPr>
            <w:tcW w:w="1440" w:type="dxa"/>
            <w:vAlign w:val="bottom"/>
            <w:gridSpan w:val="2"/>
          </w:tcPr>
          <w:p>
            <w:pPr>
              <w:jc w:val="right"/>
              <w:ind w:right="841"/>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6"/>
                <w:szCs w:val="16"/>
                <w:color w:val="auto"/>
              </w:rPr>
            </w:pPr>
          </w:p>
        </w:tc>
      </w:tr>
      <w:tr>
        <w:trPr>
          <w:trHeight w:val="189"/>
        </w:trPr>
        <w:tc>
          <w:tcPr>
            <w:tcW w:w="74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Right-of-use assets obtained in exchange of operating lease obligations</w:t>
            </w:r>
          </w:p>
        </w:tc>
        <w:tc>
          <w:tcPr>
            <w:tcW w:w="1440" w:type="dxa"/>
            <w:vAlign w:val="bottom"/>
            <w:gridSpan w:val="2"/>
            <w:shd w:val="clear" w:color="auto" w:fill="CFF0FC"/>
          </w:tcPr>
          <w:p>
            <w:pPr>
              <w:jc w:val="right"/>
              <w:ind w:right="841"/>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-3522345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-2785110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-2180590</wp:posOffset>
            </wp:positionV>
            <wp:extent cx="9398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-2180590</wp:posOffset>
            </wp:positionV>
            <wp:extent cx="9398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-1533525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-1516380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-1019175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-1002665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-1148080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-753745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(In thousands, unless otherwise 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Dallas, Texas, Santa Clara, California, Richmond Hill, Ontario (Canada), and Gurugram, Mohali and Bangalore (India). The Company is headquartered in Charlotte, North Carolina.</w:t>
      </w:r>
    </w:p>
    <w:p>
      <w:pPr>
        <w:spacing w:after="0" w:line="185"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Form 10-K for the year ended December 31, 2024 filed with the SEC on March 11, 2025 (the “2024 Form 10-K”).</w:t>
      </w:r>
    </w:p>
    <w:p>
      <w:pPr>
        <w:spacing w:after="0" w:line="7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These unaudited interim condensed consolidated financial statements have been prepared on the same basis as the annual financial statements and, in the opinion of management, reflect all adjustments, which include only normal recurring adjustments necessary for the fair statement of the Company’s financial position, results of operations and comprehensive income, changes in stockholders' equity and cash flows for the periods presented. The results of operations for the three months ended March 31, 2025 and 2024 are not necessarily indicative of the results to be expected for the full year or any other future interim or annual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unaudited interim condensed consolidated financial statements include the accounts of the Company and its wholly owned subsidiaries. All intercompany accounts and balances have been eliminated upon consolidation.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in the consolidated financial statements and accompanying notes. Such estimates include revenue recognition, cost of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$125.8 million and $147.2 million as of March 31, 2025 and December 31, 2024, respectively.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2" w:lineRule="exact"/>
        <w:rPr>
          <w:sz w:val="20"/>
          <w:szCs w:val="20"/>
          <w:color w:val="auto"/>
        </w:rPr>
      </w:pPr>
    </w:p>
    <w:p>
      <w:pPr>
        <w:jc w:val="both"/>
        <w:ind w:right="20" w:firstLine="494"/>
        <w:spacing w:after="0" w:line="244" w:lineRule="auto"/>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to the extent of the amounts recorded in the condensed consolidated balance sheets. No customer accounted for more than 10% of revenue for either of the three months ended March 31, 2025 and 2024. As of December 31, 2024 and March 31, 2025, one reseller accounted for more than 10% of accounts receivable.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Effective January 1, 2025, the Company changed its reporting segment structure to a single reporting segment, and the composition of the information package provided to the chief operating decision maker (“CODM”) was amended to deliver more focused and relevant data for decision-making. Previously, the Company identified three operating segments with one reportable segment. Following an internal assessment and a change in the manner in which financial results are provided to and reviewed by the CODM, the Company determined that it now operates and reports as a single operating and reportable segment. The determination was made based on the evaluation of factors, including resource allocation, management oversight, and the consolidated review of financial performance by the CODM. As a result, segment disclosures in the Company’s financial statements is updated to reflect the new reporting structure.</w:t>
      </w:r>
    </w:p>
    <w:p>
      <w:pPr>
        <w:spacing w:after="0" w:line="7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Company’s CODM is its chief executive officer and the CODM evaluates financial performance and makes resource allocation decisions based on consolidated financial information. The measure of segment profit or loss that the CODM uses to allocate resources and assess performance is the Company’s consolidated net income, as reported on the condensed consolidated statements of operations and comprehensive income. The CODM uses consolidated net income to assess overall Company performance, monitor progress toward financial targets, and make strategic decisions regarding the allocation of resources across functions and initiatives.</w:t>
      </w:r>
    </w:p>
    <w:p>
      <w:pPr>
        <w:spacing w:after="0" w:line="6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accounting policies applied to the segments are the same as those described in the summary of significant accounting policies. All expense categories on the condensed consolidated statements of operations and comprehensive income are significant, and there are no other significant expenses that are reviewed or provided to the CODM, which would require disclosure.</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Assets provided to the CODM are consistent with those reported on the condensed consolidated balance sheets.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Information related to the Company’s products and services is disclosed in Note 1. Information about geographical distribution of the Company’s revenue and long-lived assets is disclosed in Notes 3 and 4,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Company’s significant accounting policies are discussed in Note 2, “Basis of Presentation and Summary of Significant Accounting Policies,” in the Notes to Consolidated Financial Statements as of December 31, 2024 and 2023 and for the years ended December 31, 2024, 2023 and 2022 included in the 2024 Form 10-K. There have been no significant changes to these policies during the three months ended March 31, 2025, except for "Segment Information" as described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2"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either (1) within the same periods as those otherwise applicable to public business entities, or</w:t>
      </w:r>
    </w:p>
    <w:p>
      <w:pPr>
        <w:jc w:val="both"/>
        <w:ind w:firstLine="8"/>
        <w:spacing w:after="0" w:line="242" w:lineRule="auto"/>
        <w:tabs>
          <w:tab w:leader="none" w:pos="276"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71"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Accounting Standards Updates ("ASU") not listed below were assessed and determined to be either not applicable or are not expected to have a material impact on the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In December 2023, the FASB issued ASU 2023-09, “Improvements to Income Tax Disclosures”, which is intended to enhance income tax disclosures around the rate reconciliation and income taxes paid. The purpose of the amendment is to provide readers of the financial statements with information to better assess the differences between the effective tax rate and the statutory tax rate across multiple jurisdictions, enabling them to understand tax implications around operational opportunities and potential future cash flows. The guidance is effective beginning with the Company's 2025 fiscal year Form</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8"/>
          <w:szCs w:val="18"/>
          <w:color w:val="auto"/>
        </w:rPr>
        <w:t>10-K for the fiscal year ending December 31, 2025. The adoption of ASU 2023-09 is not expected to have a material impact on the Company's financial position or results of operations.</w:t>
      </w:r>
    </w:p>
    <w:p>
      <w:pPr>
        <w:spacing w:after="0" w:line="46"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In November 2024, the Financial Accounting Standards Board issued ASU 2024-03, Disaggregation of Income Statement Expenses (Topic 220), which requires additional disclosures, for interim and annual reporting, of expenses by nature, such as employee compensation, depreciation and amortization, and selling expenses. The updated standard will be effective for annual periods beginning in fiscal 2027 and interim periods beginning in the first quarter of fiscal 2028. Early adoption is permitted. This ASU will result in the required additional disclosures being included in the consolidated financial statements on a prospective basis, with the option for retrospective application, once adopted. The guidance is effective beginning with the Company's Form 10-K for the fiscal year ending December 31, 2027. The Company is currently evaluating the potential impact of adopting this new guidance on its condensed consolidated financial statements and related disclosures.</w:t>
      </w:r>
    </w:p>
    <w:p>
      <w:pPr>
        <w:spacing w:after="0" w:line="180" w:lineRule="exact"/>
        <w:rPr>
          <w:sz w:val="20"/>
          <w:szCs w:val="20"/>
          <w:color w:val="auto"/>
        </w:rPr>
      </w:pPr>
    </w:p>
    <w:p>
      <w:pPr>
        <w:ind w:right="5840" w:firstLine="8"/>
        <w:spacing w:after="0" w:line="360" w:lineRule="auto"/>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Performance Obligations and Contract Balances </w:t>
      </w:r>
      <w:r>
        <w:rPr>
          <w:rFonts w:ascii="Arial" w:cs="Arial" w:eastAsia="Arial" w:hAnsi="Arial"/>
          <w:sz w:val="18"/>
          <w:szCs w:val="18"/>
          <w:b w:val="1"/>
          <w:bCs w:val="1"/>
          <w:i w:val="1"/>
          <w:iCs w:val="1"/>
          <w:color w:val="auto"/>
        </w:rPr>
        <w:t>Disaggregation of Revenue</w:t>
      </w: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a disaggregation of revenue from contracts with customers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8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Payment transaction processing revenue</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273,280</w:t>
            </w:r>
          </w:p>
        </w:tc>
        <w:tc>
          <w:tcPr>
            <w:tcW w:w="4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182,752</w:t>
            </w: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2,123</w:t>
            </w:r>
          </w:p>
        </w:tc>
        <w:tc>
          <w:tcPr>
            <w:tcW w:w="100" w:type="dxa"/>
            <w:vAlign w:val="bottom"/>
          </w:tcPr>
          <w:p>
            <w:pPr>
              <w:spacing w:after="0"/>
              <w:rPr>
                <w:sz w:val="17"/>
                <w:szCs w:val="17"/>
                <w:color w:val="auto"/>
              </w:rPr>
            </w:pPr>
          </w:p>
        </w:tc>
      </w:tr>
      <w:tr>
        <w:trPr>
          <w:trHeight w:val="216"/>
        </w:trPr>
        <w:tc>
          <w:tcPr>
            <w:tcW w:w="78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revenue</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275,235</w:t>
            </w:r>
          </w:p>
        </w:tc>
        <w:tc>
          <w:tcPr>
            <w:tcW w:w="46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184,875</w:t>
            </w:r>
          </w:p>
        </w:tc>
        <w:tc>
          <w:tcPr>
            <w:tcW w:w="100" w:type="dxa"/>
            <w:vAlign w:val="bottom"/>
            <w:shd w:val="clear" w:color="auto" w:fill="CFF0FC"/>
          </w:tcPr>
          <w:p>
            <w:pPr>
              <w:spacing w:after="0"/>
              <w:rPr>
                <w:sz w:val="18"/>
                <w:szCs w:val="18"/>
                <w:color w:val="auto"/>
              </w:rPr>
            </w:pPr>
          </w:p>
        </w:tc>
      </w:tr>
      <w:tr>
        <w:trPr>
          <w:trHeight w:val="20"/>
        </w:trPr>
        <w:tc>
          <w:tcPr>
            <w:tcW w:w="7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geographic area, based on the location of the Company’s users,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8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270,679</w:t>
            </w:r>
          </w:p>
        </w:tc>
        <w:tc>
          <w:tcPr>
            <w:tcW w:w="4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181,301</w:t>
            </w: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3,574</w:t>
            </w:r>
          </w:p>
        </w:tc>
        <w:tc>
          <w:tcPr>
            <w:tcW w:w="100" w:type="dxa"/>
            <w:vAlign w:val="bottom"/>
          </w:tcPr>
          <w:p>
            <w:pPr>
              <w:spacing w:after="0"/>
              <w:rPr>
                <w:sz w:val="17"/>
                <w:szCs w:val="17"/>
                <w:color w:val="auto"/>
              </w:rPr>
            </w:pPr>
          </w:p>
        </w:tc>
      </w:tr>
      <w:tr>
        <w:trPr>
          <w:trHeight w:val="216"/>
        </w:trPr>
        <w:tc>
          <w:tcPr>
            <w:tcW w:w="78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275,235</w:t>
            </w:r>
          </w:p>
        </w:tc>
        <w:tc>
          <w:tcPr>
            <w:tcW w:w="46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184,875</w:t>
            </w:r>
          </w:p>
        </w:tc>
        <w:tc>
          <w:tcPr>
            <w:tcW w:w="100" w:type="dxa"/>
            <w:vAlign w:val="bottom"/>
            <w:shd w:val="clear" w:color="auto" w:fill="CFF0FC"/>
          </w:tcPr>
          <w:p>
            <w:pPr>
              <w:spacing w:after="0"/>
              <w:rPr>
                <w:sz w:val="18"/>
                <w:szCs w:val="18"/>
                <w:color w:val="auto"/>
              </w:rPr>
            </w:pPr>
          </w:p>
        </w:tc>
      </w:tr>
      <w:tr>
        <w:trPr>
          <w:trHeight w:val="20"/>
        </w:trPr>
        <w:tc>
          <w:tcPr>
            <w:tcW w:w="7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As of March 31, 2025, the aggregate amount of transaction price allocated to performance obligations that are unsatisfied or partially unsatisfied was $6.1 million, of which the Company expects to recognize over 74% within the next two years, 21% between two to four years and the remainder thereafter. The timing of revenue recognition within the next four years is largely dependent upon the go-live dates of the Company's customers under the Company’s contracts.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As of March 31, 2025, the Company has contractual rights under its commercial agreements with customers and resellers to receive $63.8 million of fixed consideration related to the future minimum guarantees through 2029.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sectPr>
          <w:pgSz w:w="11900" w:h="16838" w:orient="portrait"/>
          <w:cols w:equalWidth="0" w:num="1">
            <w:col w:w="11240"/>
          </w:cols>
          <w:pgMar w:left="320" w:top="1079" w:right="3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02" w:lineRule="exact"/>
        <w:rPr>
          <w:sz w:val="20"/>
          <w:szCs w:val="20"/>
          <w:color w:val="auto"/>
        </w:rPr>
      </w:pPr>
    </w:p>
    <w:p>
      <w:pPr>
        <w:jc w:val="right"/>
        <w:ind w:right="3220"/>
        <w:spacing w:after="0"/>
        <w:rPr>
          <w:sz w:val="20"/>
          <w:szCs w:val="20"/>
          <w:color w:val="auto"/>
        </w:rPr>
      </w:pPr>
      <w:r>
        <w:rPr>
          <w:rFonts w:ascii="Arial" w:cs="Arial" w:eastAsia="Arial" w:hAnsi="Arial"/>
          <w:sz w:val="18"/>
          <w:szCs w:val="18"/>
          <w:color w:val="auto"/>
        </w:rPr>
        <w:t>Contract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Non-current</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contract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2024</w:t>
            </w:r>
          </w:p>
        </w:tc>
      </w:tr>
      <w:tr>
        <w:trPr>
          <w:trHeight w:val="240"/>
        </w:trPr>
        <w:tc>
          <w:tcPr>
            <w:tcW w:w="240" w:type="dxa"/>
            <w:vAlign w:val="bottom"/>
          </w:tcPr>
          <w:p>
            <w:pPr>
              <w:spacing w:after="0"/>
              <w:rPr>
                <w:sz w:val="20"/>
                <w:szCs w:val="20"/>
                <w:color w:val="auto"/>
              </w:rPr>
            </w:pPr>
          </w:p>
        </w:tc>
        <w:tc>
          <w:tcPr>
            <w:tcW w:w="314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(in thousands)</w:t>
            </w:r>
          </w:p>
        </w:tc>
      </w:tr>
      <w:tr>
        <w:trPr>
          <w:trHeight w:val="342"/>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2,937</w:t>
            </w:r>
          </w:p>
        </w:tc>
      </w:tr>
      <w:tr>
        <w:trPr>
          <w:trHeight w:val="221"/>
        </w:trPr>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r>
      <w:tr>
        <w:trPr>
          <w:trHeight w:val="196"/>
        </w:trPr>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5,720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7040" w:space="720"/>
            <w:col w:w="3480"/>
          </w:cols>
          <w:pgMar w:left="320" w:top="1079" w:right="339" w:bottom="1440" w:gutter="0" w:footer="0" w:header="0"/>
          <w:type w:val="continuous"/>
        </w:sectPr>
      </w:pPr>
    </w:p>
    <w:p>
      <w:pPr>
        <w:ind w:right="20" w:firstLine="494"/>
        <w:spacing w:after="0" w:line="271" w:lineRule="auto"/>
        <w:rPr>
          <w:sz w:val="20"/>
          <w:szCs w:val="20"/>
          <w:color w:val="auto"/>
        </w:rPr>
      </w:pPr>
      <w:r>
        <w:rPr>
          <w:rFonts w:ascii="Arial" w:cs="Arial" w:eastAsia="Arial" w:hAnsi="Arial"/>
          <w:sz w:val="18"/>
          <w:szCs w:val="18"/>
          <w:color w:val="auto"/>
        </w:rPr>
        <w:t>Revenue recognized during the three months ended March 31, 2025 and 2024 that was included in the contract liabilities balance at the beginning of each of the periods was $0.6 million and $0.9 million, respectively.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47"/>
        </w:trPr>
        <w:tc>
          <w:tcPr>
            <w:tcW w:w="7780" w:type="dxa"/>
            <w:vAlign w:val="bottom"/>
          </w:tcPr>
          <w:p>
            <w:pPr>
              <w:spacing w:after="0"/>
              <w:rPr>
                <w:sz w:val="20"/>
                <w:szCs w:val="20"/>
                <w:color w:val="auto"/>
              </w:rPr>
            </w:pPr>
            <w:r>
              <w:rPr>
                <w:rFonts w:ascii="Arial" w:cs="Arial" w:eastAsia="Arial" w:hAnsi="Arial"/>
                <w:sz w:val="18"/>
                <w:szCs w:val="18"/>
                <w:b w:val="1"/>
                <w:bCs w:val="1"/>
                <w:color w:val="auto"/>
              </w:rPr>
              <w:t>4.   Property and Equipment, Net</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780" w:type="dxa"/>
            <w:vAlign w:val="bottom"/>
          </w:tcPr>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7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 equipment</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6,264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6,178</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1,724</w:t>
            </w:r>
          </w:p>
        </w:tc>
        <w:tc>
          <w:tcPr>
            <w:tcW w:w="100" w:type="dxa"/>
            <w:vAlign w:val="bottom"/>
          </w:tcPr>
          <w:p>
            <w:pPr>
              <w:spacing w:after="0"/>
              <w:rPr>
                <w:sz w:val="17"/>
                <w:szCs w:val="17"/>
                <w:color w:val="auto"/>
              </w:rPr>
            </w:pPr>
          </w:p>
        </w:tc>
      </w:tr>
      <w:tr>
        <w:trPr>
          <w:trHeight w:val="203"/>
        </w:trPr>
        <w:tc>
          <w:tcPr>
            <w:tcW w:w="7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376</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100"/>
              <w:spacing w:after="0" w:line="196" w:lineRule="exact"/>
              <w:rPr>
                <w:sz w:val="20"/>
                <w:szCs w:val="20"/>
                <w:color w:val="auto"/>
              </w:rPr>
            </w:pPr>
            <w:r>
              <w:rPr>
                <w:rFonts w:ascii="Arial" w:cs="Arial" w:eastAsia="Arial" w:hAnsi="Arial"/>
                <w:sz w:val="18"/>
                <w:szCs w:val="18"/>
                <w:color w:val="auto"/>
              </w:rPr>
              <w:t>Total property and equipment</w:t>
            </w:r>
          </w:p>
        </w:tc>
        <w:tc>
          <w:tcPr>
            <w:tcW w:w="24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8,377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8,277</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(7,316)</w:t>
            </w:r>
          </w:p>
        </w:tc>
        <w:tc>
          <w:tcPr>
            <w:tcW w:w="1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(7,120)</w:t>
            </w:r>
          </w:p>
        </w:tc>
      </w:tr>
      <w:tr>
        <w:trPr>
          <w:trHeight w:val="196"/>
        </w:trPr>
        <w:tc>
          <w:tcPr>
            <w:tcW w:w="7780" w:type="dxa"/>
            <w:vAlign w:val="bottom"/>
            <w:tcBorders>
              <w:top w:val="single" w:sz="8" w:color="CFF0FC"/>
            </w:tcBorders>
          </w:tcPr>
          <w:p>
            <w:pPr>
              <w:ind w:left="100"/>
              <w:spacing w:after="0" w:line="196" w:lineRule="exact"/>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1,061</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1,157</w:t>
            </w:r>
          </w:p>
        </w:tc>
        <w:tc>
          <w:tcPr>
            <w:tcW w:w="100" w:type="dxa"/>
            <w:vAlign w:val="bottom"/>
            <w:tcBorders>
              <w:top w:val="single" w:sz="8" w:color="CFF0FC"/>
            </w:tcBorders>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-427990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-161925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Depreciation expense recorded for property and equipment was $0.2 million and $0.2 million for the three months ended March 31, 2025 and 2024, respectively.</w:t>
      </w:r>
    </w:p>
    <w:p>
      <w:pPr>
        <w:spacing w:after="0" w:line="46"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The Company's long lived assets primarily consist of computer equipment and furniture. The table below summarizes long-lived assets based on its geographical area (in thousands):</w:t>
      </w:r>
    </w:p>
    <w:tbl>
      <w:tblPr>
        <w:tblLayout w:type="fixed"/>
        <w:tblInd w:w="0" w:type="dxa"/>
        <w:tblCellMar>
          <w:top w:w="0" w:type="dxa"/>
          <w:left w:w="0" w:type="dxa"/>
          <w:bottom w:w="0" w:type="dxa"/>
          <w:right w:w="0" w:type="dxa"/>
        </w:tblCellMar>
      </w:tblPr>
      <w:tr>
        <w:trPr>
          <w:trHeight w:val="204"/>
        </w:trPr>
        <w:tc>
          <w:tcPr>
            <w:tcW w:w="44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310"/>
              <w:spacing w:after="0" w:line="204"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40"/>
              <w:spacing w:after="0" w:line="204" w:lineRule="exact"/>
              <w:rPr>
                <w:sz w:val="20"/>
                <w:szCs w:val="20"/>
                <w:color w:val="auto"/>
              </w:rPr>
            </w:pPr>
            <w:r>
              <w:rPr>
                <w:rFonts w:ascii="Arial" w:cs="Arial" w:eastAsia="Arial" w:hAnsi="Arial"/>
                <w:sz w:val="18"/>
                <w:szCs w:val="18"/>
                <w:b w:val="1"/>
                <w:bCs w:val="1"/>
                <w:color w:val="auto"/>
              </w:rPr>
              <w:t>December 31,</w:t>
            </w:r>
          </w:p>
        </w:tc>
      </w:tr>
      <w:tr>
        <w:trPr>
          <w:trHeight w:val="196"/>
        </w:trPr>
        <w:tc>
          <w:tcPr>
            <w:tcW w:w="44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r>
      <w:tr>
        <w:trPr>
          <w:trHeight w:val="196"/>
        </w:trPr>
        <w:tc>
          <w:tcPr>
            <w:tcW w:w="4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36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399</w:t>
            </w: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7"/>
                <w:szCs w:val="17"/>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707</w:t>
            </w:r>
          </w:p>
        </w:tc>
        <w:tc>
          <w:tcPr>
            <w:tcW w:w="120" w:type="dxa"/>
            <w:vAlign w:val="bottom"/>
          </w:tcPr>
          <w:p>
            <w:pPr>
              <w:spacing w:after="0"/>
              <w:rPr>
                <w:sz w:val="17"/>
                <w:szCs w:val="17"/>
                <w:color w:val="auto"/>
              </w:rPr>
            </w:pPr>
          </w:p>
        </w:tc>
      </w:tr>
      <w:tr>
        <w:trPr>
          <w:trHeight w:val="216"/>
        </w:trPr>
        <w:tc>
          <w:tcPr>
            <w:tcW w:w="4460" w:type="dxa"/>
            <w:vAlign w:val="bottom"/>
            <w:shd w:val="clear" w:color="auto" w:fill="CFF0FC"/>
          </w:tcPr>
          <w:p>
            <w:pPr>
              <w:ind w:left="100"/>
              <w:spacing w:after="0" w:line="182" w:lineRule="exact"/>
              <w:rPr>
                <w:sz w:val="20"/>
                <w:szCs w:val="20"/>
                <w:color w:val="auto"/>
              </w:rPr>
            </w:pPr>
            <w:r>
              <w:rPr>
                <w:rFonts w:ascii="Arial" w:cs="Arial" w:eastAsia="Arial" w:hAnsi="Arial"/>
                <w:sz w:val="18"/>
                <w:szCs w:val="18"/>
                <w:color w:val="auto"/>
              </w:rPr>
              <w:t>Total</w:t>
            </w:r>
          </w:p>
        </w:tc>
        <w:tc>
          <w:tcPr>
            <w:tcW w:w="364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1,061</w:t>
            </w:r>
          </w:p>
        </w:tc>
        <w:tc>
          <w:tcPr>
            <w:tcW w:w="24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1,157</w:t>
            </w:r>
          </w:p>
        </w:tc>
        <w:tc>
          <w:tcPr>
            <w:tcW w:w="120" w:type="dxa"/>
            <w:vAlign w:val="bottom"/>
            <w:shd w:val="clear" w:color="auto" w:fill="CFF0FC"/>
          </w:tcPr>
          <w:p>
            <w:pPr>
              <w:spacing w:after="0"/>
              <w:rPr>
                <w:sz w:val="18"/>
                <w:szCs w:val="18"/>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3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tab/>
        <w:t>Goodwill, Internal-use Software Development Costs and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goodwill reporting units were realigned into single reporting unit, consistent with the change to the Company's segment structure described in Note 2, "Segment Information". The changes in the carrying amount of goodwill during the three month ended March 31, 2025, relate to foreign currency translation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During the three months ended March 31, 2025 and 2024, the Company capitalized $9.4 million and $9.3 million in software development and implementation costs,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included in the condensed consolidated statements of operations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36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38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3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5080" w:type="dxa"/>
            <w:vAlign w:val="bottom"/>
            <w:gridSpan w:val="2"/>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5,638</w:t>
            </w:r>
          </w:p>
        </w:tc>
        <w:tc>
          <w:tcPr>
            <w:tcW w:w="4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4,029</w:t>
            </w:r>
          </w:p>
        </w:tc>
        <w:tc>
          <w:tcPr>
            <w:tcW w:w="100" w:type="dxa"/>
            <w:vAlign w:val="bottom"/>
            <w:shd w:val="clear" w:color="auto" w:fill="CFF0FC"/>
          </w:tcPr>
          <w:p>
            <w:pPr>
              <w:spacing w:after="0"/>
              <w:rPr>
                <w:sz w:val="17"/>
                <w:szCs w:val="17"/>
                <w:color w:val="auto"/>
              </w:rPr>
            </w:pP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40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2,788</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2,282</w:t>
            </w:r>
          </w:p>
        </w:tc>
        <w:tc>
          <w:tcPr>
            <w:tcW w:w="100" w:type="dxa"/>
            <w:vAlign w:val="bottom"/>
          </w:tcPr>
          <w:p>
            <w:pPr>
              <w:spacing w:after="0"/>
              <w:rPr>
                <w:sz w:val="17"/>
                <w:szCs w:val="17"/>
                <w:color w:val="auto"/>
              </w:rPr>
            </w:pPr>
          </w:p>
        </w:tc>
      </w:tr>
      <w:tr>
        <w:trPr>
          <w:trHeight w:val="236"/>
        </w:trPr>
        <w:tc>
          <w:tcPr>
            <w:tcW w:w="3860" w:type="dxa"/>
            <w:vAlign w:val="bottom"/>
            <w:shd w:val="clear" w:color="auto" w:fill="CFF0FC"/>
          </w:tcPr>
          <w:p>
            <w:pPr>
              <w:ind w:left="100"/>
              <w:spacing w:after="0" w:line="182" w:lineRule="exact"/>
              <w:rPr>
                <w:sz w:val="20"/>
                <w:szCs w:val="20"/>
                <w:color w:val="auto"/>
              </w:rPr>
            </w:pPr>
            <w:r>
              <w:rPr>
                <w:rFonts w:ascii="Arial" w:cs="Arial" w:eastAsia="Arial" w:hAnsi="Arial"/>
                <w:sz w:val="18"/>
                <w:szCs w:val="18"/>
                <w:color w:val="auto"/>
              </w:rPr>
              <w:t>Total</w:t>
            </w:r>
          </w:p>
        </w:tc>
        <w:tc>
          <w:tcPr>
            <w:tcW w:w="5080" w:type="dxa"/>
            <w:vAlign w:val="bottom"/>
            <w:gridSpan w:val="2"/>
            <w:shd w:val="clear" w:color="auto" w:fill="CFF0FC"/>
          </w:tcPr>
          <w:p>
            <w:pPr>
              <w:jc w:val="right"/>
              <w:ind w:right="870"/>
              <w:spacing w:after="0" w:line="182"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8,426</w:t>
            </w:r>
          </w:p>
        </w:tc>
        <w:tc>
          <w:tcPr>
            <w:tcW w:w="44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6,311</w:t>
            </w:r>
          </w:p>
        </w:tc>
        <w:tc>
          <w:tcPr>
            <w:tcW w:w="100" w:type="dxa"/>
            <w:vAlign w:val="bottom"/>
            <w:shd w:val="clear" w:color="auto" w:fill="CFF0FC"/>
          </w:tcPr>
          <w:p>
            <w:pPr>
              <w:spacing w:after="0"/>
              <w:rPr>
                <w:sz w:val="20"/>
                <w:szCs w:val="20"/>
                <w:color w:val="auto"/>
              </w:rPr>
            </w:pPr>
          </w:p>
        </w:tc>
      </w:tr>
      <w:tr>
        <w:trPr>
          <w:trHeight w:val="740"/>
        </w:trPr>
        <w:tc>
          <w:tcPr>
            <w:tcW w:w="3860" w:type="dxa"/>
            <w:vAlign w:val="bottom"/>
            <w:tcBorders>
              <w:top w:val="single" w:sz="8" w:color="CFF0FC"/>
            </w:tcBorders>
          </w:tcPr>
          <w:p>
            <w:pPr>
              <w:spacing w:after="0"/>
              <w:rPr>
                <w:sz w:val="24"/>
                <w:szCs w:val="24"/>
                <w:color w:val="auto"/>
              </w:rPr>
            </w:pPr>
          </w:p>
        </w:tc>
        <w:tc>
          <w:tcPr>
            <w:tcW w:w="4020" w:type="dxa"/>
            <w:vAlign w:val="bottom"/>
            <w:tcBorders>
              <w:top w:val="single" w:sz="8" w:color="CFF0FC"/>
            </w:tcBorders>
          </w:tcPr>
          <w:p>
            <w:pPr>
              <w:jc w:val="right"/>
              <w:ind w:right="2070"/>
              <w:spacing w:after="0"/>
              <w:rPr>
                <w:sz w:val="20"/>
                <w:szCs w:val="20"/>
                <w:color w:val="auto"/>
              </w:rPr>
            </w:pPr>
            <w:r>
              <w:rPr>
                <w:rFonts w:ascii="Arial" w:cs="Arial" w:eastAsia="Arial" w:hAnsi="Arial"/>
                <w:sz w:val="18"/>
                <w:szCs w:val="18"/>
                <w:color w:val="auto"/>
              </w:rPr>
              <w:t>12</w:t>
            </w:r>
          </w:p>
        </w:tc>
        <w:tc>
          <w:tcPr>
            <w:tcW w:w="10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38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-993775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-976630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0" w:type="dxa"/>
            <w:vAlign w:val="bottom"/>
            <w:gridSpan w:val="4"/>
          </w:tcPr>
          <w:p>
            <w:pPr>
              <w:ind w:left="500"/>
              <w:spacing w:after="0"/>
              <w:rPr>
                <w:sz w:val="20"/>
                <w:szCs w:val="20"/>
                <w:color w:val="auto"/>
              </w:rPr>
            </w:pPr>
            <w:r>
              <w:rPr>
                <w:rFonts w:ascii="Arial" w:cs="Arial" w:eastAsia="Arial" w:hAnsi="Arial"/>
                <w:sz w:val="18"/>
                <w:szCs w:val="18"/>
                <w:color w:val="auto"/>
              </w:rPr>
              <w:t>Intangible assets, net consisted of the following (in 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0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 2025</w:t>
            </w:r>
          </w:p>
        </w:tc>
        <w:tc>
          <w:tcPr>
            <w:tcW w:w="13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3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5"/>
                <w:szCs w:val="15"/>
                <w:color w:val="auto"/>
              </w:rPr>
            </w:pPr>
          </w:p>
        </w:tc>
        <w:tc>
          <w:tcPr>
            <w:tcW w:w="12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gridSpan w:val="2"/>
            <w:vMerge w:val="restart"/>
          </w:tcPr>
          <w:p>
            <w:pPr>
              <w:jc w:val="right"/>
              <w:ind w:right="340"/>
              <w:spacing w:after="0" w:line="202"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vMerge w:val="restart"/>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Carrying</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gridSpan w:val="2"/>
            <w:vMerge w:val="restart"/>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gridSpan w:val="2"/>
            <w:vMerge w:val="restart"/>
          </w:tcPr>
          <w:p>
            <w:pPr>
              <w:jc w:val="right"/>
              <w:ind w:right="340"/>
              <w:spacing w:after="0" w:line="202" w:lineRule="exact"/>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2"/>
            <w:vMerge w:val="restart"/>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Useful Life</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0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Technology</w:t>
            </w:r>
          </w:p>
        </w:tc>
        <w:tc>
          <w:tcPr>
            <w:tcW w:w="1580" w:type="dxa"/>
            <w:vAlign w:val="bottom"/>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21,802</w:t>
            </w:r>
          </w:p>
        </w:tc>
        <w:tc>
          <w:tcPr>
            <w:tcW w:w="320" w:type="dxa"/>
            <w:vAlign w:val="bottom"/>
            <w:tcBorders>
              <w:left w:val="single" w:sz="8" w:color="CFF0FC"/>
            </w:tcBorders>
            <w:gridSpan w:val="2"/>
            <w:shd w:val="clear" w:color="auto" w:fill="CFF0FC"/>
          </w:tcPr>
          <w:p>
            <w:pPr>
              <w:jc w:val="right"/>
              <w:ind w:right="9"/>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right w:val="single" w:sz="8" w:color="CFF0FC"/>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(19,736)</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2,066</w:t>
            </w:r>
          </w:p>
        </w:tc>
        <w:tc>
          <w:tcPr>
            <w:tcW w:w="1340" w:type="dxa"/>
            <w:vAlign w:val="bottom"/>
            <w:tcBorders>
              <w:lef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Customer relationship</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31,951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(17,512)</w:t>
            </w:r>
          </w:p>
        </w:tc>
        <w:tc>
          <w:tcPr>
            <w:tcW w:w="360" w:type="dxa"/>
            <w:vAlign w:val="bottom"/>
          </w:tcPr>
          <w:p>
            <w:pPr>
              <w:spacing w:after="0"/>
              <w:rPr>
                <w:sz w:val="17"/>
                <w:szCs w:val="17"/>
                <w:color w:val="auto"/>
              </w:rPr>
            </w:pP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14,439</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Software and license</w:t>
            </w:r>
          </w:p>
        </w:tc>
        <w:tc>
          <w:tcPr>
            <w:tcW w:w="13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2,813</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00" w:type="dxa"/>
            <w:vAlign w:val="bottom"/>
            <w:tcBorders>
              <w:right w:val="single" w:sz="8" w:color="CFF0FC"/>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(2,813)</w:t>
            </w:r>
          </w:p>
        </w:tc>
        <w:tc>
          <w:tcPr>
            <w:tcW w:w="3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lef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Trademark</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4,038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(3,605)</w:t>
            </w:r>
          </w:p>
        </w:tc>
        <w:tc>
          <w:tcPr>
            <w:tcW w:w="360" w:type="dxa"/>
            <w:vAlign w:val="bottom"/>
          </w:tcPr>
          <w:p>
            <w:pPr>
              <w:spacing w:after="0"/>
              <w:rPr>
                <w:sz w:val="17"/>
                <w:szCs w:val="17"/>
                <w:color w:val="auto"/>
              </w:rPr>
            </w:pP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433</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Total</w:t>
            </w:r>
          </w:p>
        </w:tc>
        <w:tc>
          <w:tcPr>
            <w:tcW w:w="13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60,604</w:t>
            </w:r>
          </w:p>
        </w:tc>
        <w:tc>
          <w:tcPr>
            <w:tcW w:w="320" w:type="dxa"/>
            <w:vAlign w:val="bottom"/>
            <w:tcBorders>
              <w:left w:val="single" w:sz="8" w:color="CFF0FC"/>
            </w:tcBorders>
            <w:gridSpan w:val="2"/>
            <w:shd w:val="clear" w:color="auto" w:fill="CFF0FC"/>
          </w:tcPr>
          <w:p>
            <w:pPr>
              <w:jc w:val="right"/>
              <w:ind w:right="9"/>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right w:val="single" w:sz="8" w:color="CFF0FC"/>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(43,666)</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16,938</w:t>
            </w:r>
          </w:p>
        </w:tc>
        <w:tc>
          <w:tcPr>
            <w:tcW w:w="100" w:type="dxa"/>
            <w:vAlign w:val="bottom"/>
            <w:tcBorders>
              <w:left w:val="single" w:sz="8" w:color="CFF0FC"/>
            </w:tcBorders>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right"/>
              <w:ind w:right="1280"/>
              <w:spacing w:after="0"/>
              <w:rPr>
                <w:sz w:val="20"/>
                <w:szCs w:val="20"/>
                <w:color w:val="auto"/>
              </w:rPr>
            </w:pPr>
            <w:r>
              <w:rPr>
                <w:rFonts w:ascii="Arial" w:cs="Arial" w:eastAsia="Arial" w:hAnsi="Arial"/>
                <w:sz w:val="18"/>
                <w:szCs w:val="18"/>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2"/>
            <w:vMerge w:val="restart"/>
          </w:tcPr>
          <w:p>
            <w:pPr>
              <w:jc w:val="center"/>
              <w:ind w:right="58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5"/>
                <w:szCs w:val="15"/>
                <w:color w:val="auto"/>
              </w:rPr>
            </w:pPr>
          </w:p>
        </w:tc>
        <w:tc>
          <w:tcPr>
            <w:tcW w:w="12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gridSpan w:val="2"/>
            <w:vMerge w:val="restart"/>
          </w:tcPr>
          <w:p>
            <w:pPr>
              <w:jc w:val="right"/>
              <w:ind w:right="420"/>
              <w:spacing w:after="0" w:line="202"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2"/>
            <w:vMerge w:val="restart"/>
          </w:tcPr>
          <w:p>
            <w:pPr>
              <w:jc w:val="center"/>
              <w:ind w:right="18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vMerge w:val="restart"/>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Carrying</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gridSpan w:val="2"/>
            <w:vMerge w:val="restart"/>
          </w:tcPr>
          <w:p>
            <w:pPr>
              <w:jc w:val="center"/>
              <w:ind w:right="560"/>
              <w:spacing w:after="0" w:line="202"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gridSpan w:val="2"/>
            <w:vMerge w:val="restart"/>
          </w:tcPr>
          <w:p>
            <w:pPr>
              <w:jc w:val="right"/>
              <w:ind w:right="420"/>
              <w:spacing w:after="0" w:line="202" w:lineRule="exact"/>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2"/>
            <w:vMerge w:val="restart"/>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Useful Life</w:t>
            </w: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gridSpan w:val="2"/>
            <w:vMerge w:val="restart"/>
          </w:tcPr>
          <w:p>
            <w:pPr>
              <w:jc w:val="center"/>
              <w:ind w:right="58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0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Technology</w:t>
            </w:r>
          </w:p>
        </w:tc>
        <w:tc>
          <w:tcPr>
            <w:tcW w:w="158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21,798</w:t>
            </w:r>
          </w:p>
        </w:tc>
        <w:tc>
          <w:tcPr>
            <w:tcW w:w="320" w:type="dxa"/>
            <w:vAlign w:val="bottom"/>
            <w:tcBorders>
              <w:left w:val="single" w:sz="8" w:color="CFF0FC"/>
            </w:tcBorders>
            <w:gridSpan w:val="2"/>
            <w:shd w:val="clear" w:color="auto" w:fill="CFF0FC"/>
          </w:tcPr>
          <w:p>
            <w:pPr>
              <w:jc w:val="right"/>
              <w:ind w:right="49"/>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(18,675)</w:t>
            </w: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3,123</w:t>
            </w:r>
          </w:p>
        </w:tc>
        <w:tc>
          <w:tcPr>
            <w:tcW w:w="80" w:type="dxa"/>
            <w:vAlign w:val="bottom"/>
            <w:shd w:val="clear" w:color="auto" w:fill="CFF0FC"/>
          </w:tcPr>
          <w:p>
            <w:pPr>
              <w:spacing w:after="0"/>
              <w:rPr>
                <w:sz w:val="17"/>
                <w:szCs w:val="17"/>
                <w:color w:val="auto"/>
              </w:rPr>
            </w:pPr>
          </w:p>
        </w:tc>
        <w:tc>
          <w:tcPr>
            <w:tcW w:w="1340" w:type="dxa"/>
            <w:vAlign w:val="bottom"/>
            <w:tcBorders>
              <w:lef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Customer relationship</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31,946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(16,689)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15,257</w:t>
            </w:r>
          </w:p>
        </w:tc>
        <w:tc>
          <w:tcPr>
            <w:tcW w:w="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Software and license</w:t>
            </w:r>
          </w:p>
        </w:tc>
        <w:tc>
          <w:tcPr>
            <w:tcW w:w="13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2,797</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(2,789)</w:t>
            </w:r>
          </w:p>
        </w:tc>
        <w:tc>
          <w:tcPr>
            <w:tcW w:w="10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7"/>
                <w:szCs w:val="17"/>
                <w:color w:val="auto"/>
              </w:rPr>
            </w:pPr>
          </w:p>
        </w:tc>
        <w:tc>
          <w:tcPr>
            <w:tcW w:w="1340" w:type="dxa"/>
            <w:vAlign w:val="bottom"/>
            <w:tcBorders>
              <w:lef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Trademark</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4,038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8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Total</w:t>
            </w:r>
          </w:p>
        </w:tc>
        <w:tc>
          <w:tcPr>
            <w:tcW w:w="13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60,579</w:t>
            </w:r>
          </w:p>
        </w:tc>
        <w:tc>
          <w:tcPr>
            <w:tcW w:w="16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600" w:type="dxa"/>
            <w:vAlign w:val="bottom"/>
            <w:tcBorders>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(41,503)</w:t>
            </w:r>
          </w:p>
        </w:tc>
        <w:tc>
          <w:tcPr>
            <w:tcW w:w="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19,076</w:t>
            </w:r>
          </w:p>
        </w:tc>
        <w:tc>
          <w:tcPr>
            <w:tcW w:w="80" w:type="dxa"/>
            <w:vAlign w:val="bottom"/>
            <w:shd w:val="clear" w:color="auto" w:fill="CFF0FC"/>
          </w:tcPr>
          <w:p>
            <w:pPr>
              <w:spacing w:after="0"/>
              <w:rPr>
                <w:sz w:val="18"/>
                <w:szCs w:val="18"/>
                <w:color w:val="auto"/>
              </w:rPr>
            </w:pPr>
          </w:p>
        </w:tc>
        <w:tc>
          <w:tcPr>
            <w:tcW w:w="100" w:type="dxa"/>
            <w:vAlign w:val="bottom"/>
            <w:tcBorders>
              <w:left w:val="single" w:sz="8" w:color="CFF0FC"/>
            </w:tcBorders>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-1628140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-1610995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-1628140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-1610995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-1628140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-1610995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Amortization expense of intangible assets was $2.1 million and $2.0 million for the three months ended March 31, 2025 and 2024, respectively.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60" w:type="dxa"/>
            <w:vAlign w:val="bottom"/>
          </w:tcPr>
          <w:p>
            <w:pPr>
              <w:jc w:val="right"/>
              <w:ind w:right="890"/>
              <w:spacing w:after="0"/>
              <w:rPr>
                <w:sz w:val="20"/>
                <w:szCs w:val="20"/>
                <w:color w:val="auto"/>
              </w:rPr>
            </w:pPr>
            <w:r>
              <w:rPr>
                <w:rFonts w:ascii="Arial" w:cs="Arial" w:eastAsia="Arial" w:hAnsi="Arial"/>
                <w:sz w:val="18"/>
                <w:szCs w:val="18"/>
                <w:color w:val="auto"/>
              </w:rPr>
              <w:t>As of March 31, 2025, future expected amortization expense is as follows (in thousands):</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0"/>
        </w:trPr>
        <w:tc>
          <w:tcPr>
            <w:tcW w:w="8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03"/>
        </w:trPr>
        <w:tc>
          <w:tcPr>
            <w:tcW w:w="8560" w:type="dxa"/>
            <w:vAlign w:val="bottom"/>
            <w:shd w:val="clear" w:color="auto" w:fill="CFF0FC"/>
          </w:tcPr>
          <w:p>
            <w:pPr>
              <w:jc w:val="right"/>
              <w:ind w:right="6090"/>
              <w:spacing w:after="0" w:line="202" w:lineRule="exact"/>
              <w:rPr>
                <w:sz w:val="20"/>
                <w:szCs w:val="20"/>
                <w:color w:val="auto"/>
              </w:rPr>
            </w:pPr>
            <w:r>
              <w:rPr>
                <w:rFonts w:ascii="Arial" w:cs="Arial" w:eastAsia="Arial" w:hAnsi="Arial"/>
                <w:sz w:val="18"/>
                <w:szCs w:val="18"/>
                <w:b w:val="1"/>
                <w:bCs w:val="1"/>
                <w:color w:val="auto"/>
                <w:w w:val="99"/>
              </w:rPr>
              <w:t>Years Ending December 31,</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560" w:type="dxa"/>
            <w:vAlign w:val="bottom"/>
          </w:tcPr>
          <w:p>
            <w:pPr>
              <w:jc w:val="right"/>
              <w:ind w:right="7930"/>
              <w:spacing w:after="0" w:line="202" w:lineRule="exact"/>
              <w:rPr>
                <w:sz w:val="20"/>
                <w:szCs w:val="20"/>
                <w:color w:val="auto"/>
              </w:rPr>
            </w:pPr>
            <w:r>
              <w:rPr>
                <w:rFonts w:ascii="Arial" w:cs="Arial" w:eastAsia="Arial" w:hAnsi="Arial"/>
                <w:sz w:val="18"/>
                <w:szCs w:val="18"/>
                <w:color w:val="auto"/>
              </w:rPr>
              <w:t>2025</w:t>
            </w:r>
          </w:p>
        </w:tc>
        <w:tc>
          <w:tcPr>
            <w:tcW w:w="15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4,951</w:t>
            </w:r>
          </w:p>
        </w:tc>
        <w:tc>
          <w:tcPr>
            <w:tcW w:w="100" w:type="dxa"/>
            <w:vAlign w:val="bottom"/>
          </w:tcPr>
          <w:p>
            <w:pPr>
              <w:spacing w:after="0"/>
              <w:rPr>
                <w:sz w:val="17"/>
                <w:szCs w:val="17"/>
                <w:color w:val="auto"/>
              </w:rPr>
            </w:pPr>
          </w:p>
        </w:tc>
      </w:tr>
      <w:tr>
        <w:trPr>
          <w:trHeight w:val="203"/>
        </w:trPr>
        <w:tc>
          <w:tcPr>
            <w:tcW w:w="8560" w:type="dxa"/>
            <w:vAlign w:val="bottom"/>
            <w:shd w:val="clear" w:color="auto" w:fill="CFF0FC"/>
          </w:tcPr>
          <w:p>
            <w:pPr>
              <w:jc w:val="right"/>
              <w:ind w:right="7930"/>
              <w:spacing w:after="0" w:line="202" w:lineRule="exact"/>
              <w:rPr>
                <w:sz w:val="20"/>
                <w:szCs w:val="20"/>
                <w:color w:val="auto"/>
              </w:rPr>
            </w:pPr>
            <w:r>
              <w:rPr>
                <w:rFonts w:ascii="Arial" w:cs="Arial" w:eastAsia="Arial" w:hAnsi="Arial"/>
                <w:sz w:val="18"/>
                <w:szCs w:val="18"/>
                <w:color w:val="auto"/>
              </w:rPr>
              <w:t>2026</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shd w:val="clear" w:color="auto" w:fill="CFF0FC"/>
          </w:tcPr>
          <w:p>
            <w:pPr>
              <w:spacing w:after="0"/>
              <w:rPr>
                <w:sz w:val="17"/>
                <w:szCs w:val="17"/>
                <w:color w:val="auto"/>
              </w:rPr>
            </w:pPr>
          </w:p>
        </w:tc>
      </w:tr>
      <w:tr>
        <w:trPr>
          <w:trHeight w:val="203"/>
        </w:trPr>
        <w:tc>
          <w:tcPr>
            <w:tcW w:w="8560" w:type="dxa"/>
            <w:vAlign w:val="bottom"/>
          </w:tcPr>
          <w:p>
            <w:pPr>
              <w:jc w:val="right"/>
              <w:ind w:right="7930"/>
              <w:spacing w:after="0" w:line="202" w:lineRule="exact"/>
              <w:rPr>
                <w:sz w:val="20"/>
                <w:szCs w:val="20"/>
                <w:color w:val="auto"/>
              </w:rPr>
            </w:pPr>
            <w:r>
              <w:rPr>
                <w:rFonts w:ascii="Arial" w:cs="Arial" w:eastAsia="Arial" w:hAnsi="Arial"/>
                <w:sz w:val="18"/>
                <w:szCs w:val="18"/>
                <w:color w:val="auto"/>
              </w:rPr>
              <w:t>2027</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tcPr>
          <w:p>
            <w:pPr>
              <w:spacing w:after="0"/>
              <w:rPr>
                <w:sz w:val="17"/>
                <w:szCs w:val="17"/>
                <w:color w:val="auto"/>
              </w:rPr>
            </w:pPr>
          </w:p>
        </w:tc>
      </w:tr>
      <w:tr>
        <w:trPr>
          <w:trHeight w:val="203"/>
        </w:trPr>
        <w:tc>
          <w:tcPr>
            <w:tcW w:w="8560" w:type="dxa"/>
            <w:vAlign w:val="bottom"/>
            <w:shd w:val="clear" w:color="auto" w:fill="CFF0FC"/>
          </w:tcPr>
          <w:p>
            <w:pPr>
              <w:jc w:val="right"/>
              <w:ind w:right="7930"/>
              <w:spacing w:after="0" w:line="202" w:lineRule="exact"/>
              <w:rPr>
                <w:sz w:val="20"/>
                <w:szCs w:val="20"/>
                <w:color w:val="auto"/>
              </w:rPr>
            </w:pPr>
            <w:r>
              <w:rPr>
                <w:rFonts w:ascii="Arial" w:cs="Arial" w:eastAsia="Arial" w:hAnsi="Arial"/>
                <w:sz w:val="18"/>
                <w:szCs w:val="18"/>
                <w:color w:val="auto"/>
              </w:rPr>
              <w:t>2028</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shd w:val="clear" w:color="auto" w:fill="CFF0FC"/>
          </w:tcPr>
          <w:p>
            <w:pPr>
              <w:spacing w:after="0"/>
              <w:rPr>
                <w:sz w:val="17"/>
                <w:szCs w:val="17"/>
                <w:color w:val="auto"/>
              </w:rPr>
            </w:pPr>
          </w:p>
        </w:tc>
      </w:tr>
      <w:tr>
        <w:trPr>
          <w:trHeight w:val="203"/>
        </w:trPr>
        <w:tc>
          <w:tcPr>
            <w:tcW w:w="8560" w:type="dxa"/>
            <w:vAlign w:val="bottom"/>
          </w:tcPr>
          <w:p>
            <w:pPr>
              <w:jc w:val="right"/>
              <w:ind w:right="7930"/>
              <w:spacing w:after="0" w:line="202" w:lineRule="exact"/>
              <w:rPr>
                <w:sz w:val="20"/>
                <w:szCs w:val="20"/>
                <w:color w:val="auto"/>
              </w:rPr>
            </w:pPr>
            <w:r>
              <w:rPr>
                <w:rFonts w:ascii="Arial" w:cs="Arial" w:eastAsia="Arial" w:hAnsi="Arial"/>
                <w:sz w:val="18"/>
                <w:szCs w:val="18"/>
                <w:color w:val="auto"/>
              </w:rPr>
              <w:t>2029</w:t>
            </w:r>
          </w:p>
        </w:tc>
        <w:tc>
          <w:tcPr>
            <w:tcW w:w="10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2,180</w:t>
            </w:r>
          </w:p>
        </w:tc>
        <w:tc>
          <w:tcPr>
            <w:tcW w:w="100" w:type="dxa"/>
            <w:vAlign w:val="bottom"/>
          </w:tcPr>
          <w:p>
            <w:pPr>
              <w:spacing w:after="0"/>
              <w:rPr>
                <w:sz w:val="17"/>
                <w:szCs w:val="17"/>
                <w:color w:val="auto"/>
              </w:rPr>
            </w:pPr>
          </w:p>
        </w:tc>
      </w:tr>
      <w:tr>
        <w:trPr>
          <w:trHeight w:val="216"/>
        </w:trPr>
        <w:tc>
          <w:tcPr>
            <w:tcW w:w="8560" w:type="dxa"/>
            <w:vAlign w:val="bottom"/>
            <w:shd w:val="clear" w:color="auto" w:fill="CFF0FC"/>
          </w:tcPr>
          <w:p>
            <w:pPr>
              <w:jc w:val="right"/>
              <w:ind w:right="5550"/>
              <w:spacing w:after="0" w:line="196" w:lineRule="exact"/>
              <w:rPr>
                <w:sz w:val="20"/>
                <w:szCs w:val="20"/>
                <w:color w:val="auto"/>
              </w:rPr>
            </w:pPr>
            <w:r>
              <w:rPr>
                <w:rFonts w:ascii="Arial" w:cs="Arial" w:eastAsia="Arial" w:hAnsi="Arial"/>
                <w:sz w:val="18"/>
                <w:szCs w:val="18"/>
                <w:color w:val="auto"/>
              </w:rPr>
              <w:t>Total future amortization expense</w:t>
            </w:r>
          </w:p>
        </w:tc>
        <w:tc>
          <w:tcPr>
            <w:tcW w:w="1560" w:type="dxa"/>
            <w:vAlign w:val="bottom"/>
            <w:gridSpan w:val="2"/>
            <w:shd w:val="clear" w:color="auto" w:fill="CFF0FC"/>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16,938</w:t>
            </w:r>
          </w:p>
        </w:tc>
        <w:tc>
          <w:tcPr>
            <w:tcW w:w="100" w:type="dxa"/>
            <w:vAlign w:val="bottom"/>
            <w:shd w:val="clear" w:color="auto" w:fill="CFF0FC"/>
          </w:tcPr>
          <w:p>
            <w:pPr>
              <w:spacing w:after="0"/>
              <w:rPr>
                <w:sz w:val="18"/>
                <w:szCs w:val="18"/>
                <w:color w:val="auto"/>
              </w:rPr>
            </w:pPr>
          </w:p>
        </w:tc>
      </w:tr>
      <w:tr>
        <w:trPr>
          <w:trHeight w:val="20"/>
        </w:trPr>
        <w:tc>
          <w:tcPr>
            <w:tcW w:w="8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There were no impairments of goodwill, internal-use software development costs or intangible assets in the three months ended March 31, 2025 and 2024.</w:t>
      </w:r>
    </w:p>
    <w:p>
      <w:pPr>
        <w:spacing w:after="0" w:line="154"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assets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composition of prepaid expenses and other assets is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Prepaid expenses and other assets:</w:t>
            </w:r>
          </w:p>
        </w:tc>
        <w:tc>
          <w:tcPr>
            <w:tcW w:w="3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100"/>
              <w:spacing w:after="0" w:line="202" w:lineRule="exact"/>
              <w:rPr>
                <w:sz w:val="20"/>
                <w:szCs w:val="20"/>
                <w:color w:val="auto"/>
              </w:rPr>
            </w:pPr>
            <w:r>
              <w:rPr>
                <w:rFonts w:ascii="Arial" w:cs="Arial" w:eastAsia="Arial" w:hAnsi="Arial"/>
                <w:sz w:val="18"/>
                <w:szCs w:val="18"/>
                <w:color w:val="auto"/>
              </w:rPr>
              <w:t>Prepaid expenses</w:t>
            </w:r>
          </w:p>
        </w:tc>
        <w:tc>
          <w:tcPr>
            <w:tcW w:w="3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7,130</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6,584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Contract acquisition costs</w:t>
            </w:r>
          </w:p>
        </w:tc>
        <w:tc>
          <w:tcPr>
            <w:tcW w:w="3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6,657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100"/>
              <w:spacing w:after="0" w:line="202" w:lineRule="exact"/>
              <w:rPr>
                <w:sz w:val="20"/>
                <w:szCs w:val="20"/>
                <w:color w:val="auto"/>
              </w:rPr>
            </w:pPr>
            <w:r>
              <w:rPr>
                <w:rFonts w:ascii="Arial" w:cs="Arial" w:eastAsia="Arial" w:hAnsi="Arial"/>
                <w:sz w:val="18"/>
                <w:szCs w:val="18"/>
                <w:color w:val="auto"/>
              </w:rPr>
              <w:t>Other assets</w:t>
            </w:r>
          </w:p>
        </w:tc>
        <w:tc>
          <w:tcPr>
            <w:tcW w:w="3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FF0FC"/>
          </w:tcPr>
          <w:p>
            <w:pPr>
              <w:ind w:left="220"/>
              <w:spacing w:after="0" w:line="182" w:lineRule="exact"/>
              <w:rPr>
                <w:sz w:val="20"/>
                <w:szCs w:val="20"/>
                <w:color w:val="auto"/>
              </w:rPr>
            </w:pPr>
            <w:r>
              <w:rPr>
                <w:rFonts w:ascii="Arial" w:cs="Arial" w:eastAsia="Arial" w:hAnsi="Arial"/>
                <w:sz w:val="18"/>
                <w:szCs w:val="18"/>
                <w:color w:val="auto"/>
              </w:rPr>
              <w:t>Total prepaid expenses and other assets</w:t>
            </w:r>
          </w:p>
        </w:tc>
        <w:tc>
          <w:tcPr>
            <w:tcW w:w="356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14,416</w:t>
            </w:r>
          </w:p>
        </w:tc>
        <w:tc>
          <w:tcPr>
            <w:tcW w:w="24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16,073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540" w:type="dxa"/>
            <w:vAlign w:val="bottom"/>
            <w:tcBorders>
              <w:top w:val="single" w:sz="8" w:color="CFF0FC"/>
            </w:tcBorders>
          </w:tcPr>
          <w:p>
            <w:pPr>
              <w:spacing w:after="0"/>
              <w:rPr>
                <w:sz w:val="15"/>
                <w:szCs w:val="15"/>
                <w:color w:val="auto"/>
              </w:rPr>
            </w:pPr>
          </w:p>
        </w:tc>
        <w:tc>
          <w:tcPr>
            <w:tcW w:w="33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Prepaid expenses and other assets:</w:t>
            </w:r>
          </w:p>
        </w:tc>
        <w:tc>
          <w:tcPr>
            <w:tcW w:w="3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Current</w:t>
            </w:r>
          </w:p>
        </w:tc>
        <w:tc>
          <w:tcPr>
            <w:tcW w:w="3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11,880</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13,058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Non-current</w:t>
            </w:r>
          </w:p>
        </w:tc>
        <w:tc>
          <w:tcPr>
            <w:tcW w:w="33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2,536</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3,015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ind w:left="260"/>
              <w:spacing w:after="0" w:line="182" w:lineRule="exact"/>
              <w:rPr>
                <w:sz w:val="20"/>
                <w:szCs w:val="20"/>
                <w:color w:val="auto"/>
              </w:rPr>
            </w:pPr>
            <w:r>
              <w:rPr>
                <w:rFonts w:ascii="Arial" w:cs="Arial" w:eastAsia="Arial" w:hAnsi="Arial"/>
                <w:sz w:val="18"/>
                <w:szCs w:val="18"/>
                <w:color w:val="auto"/>
              </w:rPr>
              <w:t>Total prepaid expenses and other assets:</w:t>
            </w:r>
          </w:p>
        </w:tc>
        <w:tc>
          <w:tcPr>
            <w:tcW w:w="356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14,416</w:t>
            </w:r>
          </w:p>
        </w:tc>
        <w:tc>
          <w:tcPr>
            <w:tcW w:w="2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16,073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320" w:type="dxa"/>
            <w:vAlign w:val="bottom"/>
            <w:vMerge w:val="restart"/>
          </w:tcPr>
          <w:p>
            <w:pPr>
              <w:jc w:val="right"/>
              <w:ind w:right="205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45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5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-1533525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-1516380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-1533525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-1516380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-993775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13" w:name="page14"/>
    <w:bookmarkEnd w:id="13"/>
    <w:p>
      <w:pPr>
        <w:jc w:val="both"/>
        <w:ind w:right="20" w:firstLine="494"/>
        <w:spacing w:after="0" w:line="271" w:lineRule="auto"/>
        <w:rPr>
          <w:sz w:val="20"/>
          <w:szCs w:val="20"/>
          <w:color w:val="auto"/>
        </w:rPr>
      </w:pPr>
      <w:r>
        <w:rPr>
          <w:rFonts w:ascii="Arial" w:cs="Arial" w:eastAsia="Arial" w:hAnsi="Arial"/>
          <w:sz w:val="18"/>
          <w:szCs w:val="18"/>
          <w:color w:val="auto"/>
        </w:rPr>
        <w:t>Contract acquisition costs consist of upfront customer contract discounts, unamortized warrants cost and sales commissions. Other assets consist of security deposit for leased properties, investment in term deposits and input tax receivables.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680" w:type="dxa"/>
            <w:vAlign w:val="bottom"/>
          </w:tcPr>
          <w:p>
            <w:pPr>
              <w:spacing w:after="0"/>
              <w:rPr>
                <w:sz w:val="20"/>
                <w:szCs w:val="20"/>
                <w:color w:val="auto"/>
              </w:rPr>
            </w:pPr>
            <w:r>
              <w:rPr>
                <w:rFonts w:ascii="Arial" w:cs="Arial" w:eastAsia="Arial" w:hAnsi="Arial"/>
                <w:sz w:val="18"/>
                <w:szCs w:val="18"/>
                <w:b w:val="1"/>
                <w:bCs w:val="1"/>
                <w:color w:val="auto"/>
              </w:rPr>
              <w:t>7.   Accrued and Other Liabilities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680" w:type="dxa"/>
            <w:vAlign w:val="bottom"/>
          </w:tcPr>
          <w:p>
            <w:pPr>
              <w:ind w:left="500"/>
              <w:spacing w:after="0"/>
              <w:rPr>
                <w:sz w:val="20"/>
                <w:szCs w:val="20"/>
                <w:color w:val="auto"/>
              </w:rPr>
            </w:pPr>
            <w:r>
              <w:rPr>
                <w:rFonts w:ascii="Arial" w:cs="Arial" w:eastAsia="Arial" w:hAnsi="Arial"/>
                <w:sz w:val="18"/>
                <w:szCs w:val="18"/>
                <w:color w:val="auto"/>
              </w:rPr>
              <w:t>The composition of accrued and other liabilities is as follows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6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Accrued and other liabilities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100"/>
              <w:spacing w:after="0" w:line="202" w:lineRule="exact"/>
              <w:rPr>
                <w:sz w:val="20"/>
                <w:szCs w:val="20"/>
                <w:color w:val="auto"/>
              </w:rPr>
            </w:pPr>
            <w:r>
              <w:rPr>
                <w:rFonts w:ascii="Arial" w:cs="Arial" w:eastAsia="Arial" w:hAnsi="Arial"/>
                <w:sz w:val="18"/>
                <w:szCs w:val="18"/>
                <w:color w:val="auto"/>
              </w:rPr>
              <w:t>Payroll and employee-related expenses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7,618</w:t>
            </w:r>
          </w:p>
        </w:tc>
        <w:tc>
          <w:tcPr>
            <w:tcW w:w="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16,650</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accrued expenses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7,546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8,095</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100"/>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4,311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1,717</w:t>
            </w:r>
          </w:p>
        </w:tc>
        <w:tc>
          <w:tcPr>
            <w:tcW w:w="100" w:type="dxa"/>
            <w:vAlign w:val="bottom"/>
          </w:tcPr>
          <w:p>
            <w:pPr>
              <w:spacing w:after="0"/>
              <w:rPr>
                <w:sz w:val="17"/>
                <w:szCs w:val="17"/>
                <w:color w:val="auto"/>
              </w:rPr>
            </w:pPr>
          </w:p>
        </w:tc>
      </w:tr>
      <w:tr>
        <w:trPr>
          <w:trHeight w:val="236"/>
        </w:trPr>
        <w:tc>
          <w:tcPr>
            <w:tcW w:w="7680" w:type="dxa"/>
            <w:vAlign w:val="bottom"/>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accrued and other liabilities</w:t>
            </w:r>
          </w:p>
        </w:tc>
        <w:tc>
          <w:tcPr>
            <w:tcW w:w="24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19,475</w:t>
            </w:r>
          </w:p>
        </w:tc>
        <w:tc>
          <w:tcPr>
            <w:tcW w:w="30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26,462</w:t>
            </w:r>
          </w:p>
        </w:tc>
        <w:tc>
          <w:tcPr>
            <w:tcW w:w="100" w:type="dxa"/>
            <w:vAlign w:val="bottom"/>
            <w:shd w:val="clear" w:color="auto" w:fill="CFF0FC"/>
          </w:tcPr>
          <w:p>
            <w:pPr>
              <w:spacing w:after="0"/>
              <w:rPr>
                <w:sz w:val="20"/>
                <w:szCs w:val="20"/>
                <w:color w:val="auto"/>
              </w:rPr>
            </w:pPr>
          </w:p>
        </w:tc>
      </w:tr>
      <w:tr>
        <w:trPr>
          <w:trHeight w:val="183"/>
        </w:trPr>
        <w:tc>
          <w:tcPr>
            <w:tcW w:w="76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68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Accrued and other liabilities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160"/>
              <w:spacing w:after="0" w:line="202" w:lineRule="exact"/>
              <w:rPr>
                <w:sz w:val="20"/>
                <w:szCs w:val="20"/>
                <w:color w:val="auto"/>
              </w:rPr>
            </w:pPr>
            <w:r>
              <w:rPr>
                <w:rFonts w:ascii="Arial" w:cs="Arial" w:eastAsia="Arial" w:hAnsi="Arial"/>
                <w:sz w:val="18"/>
                <w:szCs w:val="18"/>
                <w:color w:val="auto"/>
              </w:rPr>
              <w:t>Current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18,513</w:t>
            </w:r>
          </w:p>
        </w:tc>
        <w:tc>
          <w:tcPr>
            <w:tcW w:w="3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26,462</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Non-current</w:t>
            </w: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962</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60"/>
              <w:spacing w:after="0" w:line="182" w:lineRule="exact"/>
              <w:rPr>
                <w:sz w:val="20"/>
                <w:szCs w:val="20"/>
                <w:color w:val="auto"/>
              </w:rPr>
            </w:pPr>
            <w:r>
              <w:rPr>
                <w:rFonts w:ascii="Arial" w:cs="Arial" w:eastAsia="Arial" w:hAnsi="Arial"/>
                <w:sz w:val="18"/>
                <w:szCs w:val="18"/>
                <w:color w:val="auto"/>
              </w:rPr>
              <w:t>Total accrued and other liabilities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19,475</w:t>
            </w:r>
          </w:p>
        </w:tc>
        <w:tc>
          <w:tcPr>
            <w:tcW w:w="3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26,462</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-702310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-685165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Other accrued expenses consist of professional services, insurance and legal accruals, obligations related to agency commissions and other miscellaneous accruals. Other liabilities primarily consist of amounts payable to customers related to refunds arising from various circumstances, including dispute settlements and other customer-related transactions.</w:t>
      </w:r>
    </w:p>
    <w:p>
      <w:pPr>
        <w:spacing w:after="0" w:line="169"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 There have been no material changes to the Company's contractual obligations or commitments outside of the ordinary course of business as compared to those described in the 2024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is involved from time to time in various claims and legal proceedings arising in the ordinary course of business. From time to time as appropriate, the Company accrues liabilities related to legal claims in its financial statements. Accrued liabilities related to legal matters are included within other accrued liabilities in Note 7. If the loss is not probable or cannot be reasonably estimated, a liability is not recorded in its condensed consolidated financial statements. While it is not feasible to predict or determine the ultimate outcome of these matters, the Company believes that, as of March 31, 2025, except for potential losses associated with the estimated liabilities recorded in the condensed consolidated financial statements, no current claims and legal proceedings are expected to have a material adverse effect on its financial position,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4" w:name="page15"/>
    <w:bookmarkEnd w:id="14"/>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On May 13, 2021, the Company entered into a warrant agreement with JPMC Strategic Investments I Corporation (“JPMC”), an affiliate of J.P. Morgan Securities LLC, an underwriter in our 2021 initial public offering ("IPO"), pursuant to which the Company agreed to issue a warrant to JPMC for up to 509,370 shares of Class A common stock upon completion of the IPO at an exercise price of $18.38 per share (the “May 2021 warrant agreement”). Upon completion of the IPO, 382,027 of the warrant shares vested and were exercisable. The vesting of the remaining 127,343 shares of Class A common stock underlying the warrant was subject to the achievement of certain commercial milestones through December 31, 2025 pursuant to a related commercial agreement with JPMorgan Chase Bank, National Association (“JPM Chase”), an affiliate of JPMC. As discussed below, this commercial agreement was amended in August 2022, and the achievement of certain commercial milestones was extended through December 31, 2026 and minimum revenue commitments were set for each of the calendar years through 2026. As of March 31, 2025, all 509,370 warrant shares were vested and exercisable under the May 2021 warrant agreement.</w:t>
      </w:r>
    </w:p>
    <w:p>
      <w:pPr>
        <w:spacing w:after="0" w:line="270"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On August 29, 2022, the Company entered into a second warrant agreement with JPMC, in connection with an amendment to the Company's existing commercial agreement with JPM Chase discussed above, pursuant to which the Company issued a warrant to JPMC for up to 684,510 shares of Class A common stock at an exercise price of $10.10 per share (the “August 2022 warrant agreement”). Upon signing the August 2022 warrant agreement, 171,128 of the warrant shares vested and were exercisable. The vesting of the remaining 513,382 shares of Class A common stock underlying the warrant is subject to the achievement of certain commercial milestones through December 31, 2026 pursuant to the commercial agreement, as amended. As of March 31, 2025, 175,904 warrant shares were vested and exercisable under the August 2022 warrant agreement.</w:t>
      </w:r>
    </w:p>
    <w:p>
      <w:pPr>
        <w:spacing w:after="0" w:line="77"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 xml:space="preserve">The Company accounts for the consideration payable in the form of warrants to its vendor as share based compensation expense. The warrant fair value was determined using the Black-Scholes pricing model in accordance with ASC 718, </w:t>
      </w:r>
      <w:r>
        <w:rPr>
          <w:rFonts w:ascii="Arial" w:cs="Arial" w:eastAsia="Arial" w:hAnsi="Arial"/>
          <w:sz w:val="18"/>
          <w:szCs w:val="18"/>
          <w:i w:val="1"/>
          <w:iCs w:val="1"/>
          <w:color w:val="auto"/>
        </w:rPr>
        <w:t>Compensation-Stock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0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In May 2021, the Company’s board of directors (the "Board") adopted, and its stockholders approved, the 2021 Equity Incentive Plan (the "2021 Plan"), which became effective in connection with the IPO. The 2021 Plan provides for the grant of 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(subject to the Compensation Committee of the Board exercising discretion to increase or decrease such amount,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2025, pursuant to the Evergreen Addition, approximately 5.0 million shares of Class A common stock were added to the 2021 Plan issuance reserve. At March 31, 2025, there were approximately 26.4 million remaining shares available for the Company to grant under the 2021 Plan.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 summary of the Company’s option activity during the three months ended March 31, 2025 was as follows (in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left="270"/>
              <w:spacing w:after="0" w:line="202" w:lineRule="exact"/>
              <w:rPr>
                <w:sz w:val="20"/>
                <w:szCs w:val="20"/>
                <w:color w:val="auto"/>
              </w:rPr>
            </w:pPr>
            <w:r>
              <w:rPr>
                <w:rFonts w:ascii="Arial" w:cs="Arial" w:eastAsia="Arial" w:hAnsi="Arial"/>
                <w:sz w:val="18"/>
                <w:szCs w:val="18"/>
                <w:b w:val="1"/>
                <w:bCs w:val="1"/>
                <w:color w:val="auto"/>
              </w:rPr>
              <w:t>Weighted-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left="270"/>
              <w:spacing w:after="0" w:line="202" w:lineRule="exact"/>
              <w:rPr>
                <w:sz w:val="20"/>
                <w:szCs w:val="20"/>
                <w:color w:val="auto"/>
              </w:rPr>
            </w:pPr>
            <w:r>
              <w:rPr>
                <w:rFonts w:ascii="Arial" w:cs="Arial" w:eastAsia="Arial" w:hAnsi="Arial"/>
                <w:sz w:val="18"/>
                <w:szCs w:val="18"/>
                <w:b w:val="1"/>
                <w:bCs w:val="1"/>
                <w:color w:val="auto"/>
              </w:rPr>
              <w:t>Average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4740" w:type="dxa"/>
            <w:vAlign w:val="bottom"/>
          </w:tcPr>
          <w:p>
            <w:pPr>
              <w:spacing w:after="0"/>
              <w:rPr>
                <w:sz w:val="17"/>
                <w:szCs w:val="17"/>
                <w:color w:val="auto"/>
              </w:rPr>
            </w:pPr>
          </w:p>
        </w:tc>
        <w:tc>
          <w:tcPr>
            <w:tcW w:w="172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Options</w:t>
            </w:r>
          </w:p>
        </w:tc>
        <w:tc>
          <w:tcPr>
            <w:tcW w:w="16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Exercise Price</w:t>
            </w:r>
          </w:p>
        </w:tc>
        <w:tc>
          <w:tcPr>
            <w:tcW w:w="1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21"/>
        </w:trPr>
        <w:tc>
          <w:tcPr>
            <w:tcW w:w="4740" w:type="dxa"/>
            <w:vAlign w:val="bottom"/>
          </w:tcPr>
          <w:p>
            <w:pPr>
              <w:spacing w:after="0"/>
              <w:rPr>
                <w:sz w:val="19"/>
                <w:szCs w:val="19"/>
                <w:color w:val="auto"/>
              </w:rPr>
            </w:pP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rPr>
              <w:t>per Share</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Life </w:t>
            </w:r>
            <w:r>
              <w:rPr>
                <w:rFonts w:ascii="Arial" w:cs="Arial" w:eastAsia="Arial" w:hAnsi="Arial"/>
                <w:sz w:val="18"/>
                <w:szCs w:val="18"/>
                <w:b w:val="1"/>
                <w:bCs w:val="1"/>
                <w:i w:val="1"/>
                <w:iCs w:val="1"/>
                <w:color w:val="auto"/>
                <w:w w:val="99"/>
              </w:rPr>
              <w:t>(years)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19"/>
                <w:szCs w:val="19"/>
                <w:color w:val="auto"/>
              </w:rPr>
            </w:pPr>
          </w:p>
        </w:tc>
      </w:tr>
      <w:tr>
        <w:trPr>
          <w:trHeight w:val="196"/>
        </w:trPr>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2024</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3,534,103</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8.47</w:t>
            </w:r>
          </w:p>
        </w:tc>
        <w:tc>
          <w:tcPr>
            <w:tcW w:w="16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4.26</w:t>
            </w:r>
          </w:p>
        </w:tc>
        <w:tc>
          <w:tcPr>
            <w:tcW w:w="2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85,525</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120"/>
              <w:spacing w:after="0" w:line="202" w:lineRule="exact"/>
              <w:rPr>
                <w:sz w:val="20"/>
                <w:szCs w:val="20"/>
                <w:color w:val="auto"/>
              </w:rPr>
            </w:pPr>
            <w:r>
              <w:rPr>
                <w:rFonts w:ascii="Arial" w:cs="Arial" w:eastAsia="Arial" w:hAnsi="Arial"/>
                <w:sz w:val="18"/>
                <w:szCs w:val="18"/>
                <w:color w:val="auto"/>
              </w:rPr>
              <w:t>Options exercised</w:t>
            </w:r>
          </w:p>
        </w:tc>
        <w:tc>
          <w:tcPr>
            <w:tcW w:w="1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(33,736)</w:t>
            </w:r>
          </w:p>
        </w:tc>
        <w:tc>
          <w:tcPr>
            <w:tcW w:w="124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6"/>
              </w:rPr>
              <w:t>1.54</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Options forfeited</w:t>
            </w:r>
          </w:p>
        </w:tc>
        <w:tc>
          <w:tcPr>
            <w:tcW w:w="17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(7,667)</w:t>
            </w:r>
          </w:p>
        </w:tc>
        <w:tc>
          <w:tcPr>
            <w:tcW w:w="124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0.28</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47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Outstanding at March 31, 2025</w:t>
            </w:r>
          </w:p>
        </w:tc>
        <w:tc>
          <w:tcPr>
            <w:tcW w:w="1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3,492,700</w:t>
            </w:r>
          </w:p>
        </w:tc>
        <w:tc>
          <w:tcPr>
            <w:tcW w:w="100" w:type="dxa"/>
            <w:vAlign w:val="bottom"/>
            <w:tcBorders>
              <w:top w:val="single" w:sz="8" w:color="CFF0FC"/>
            </w:tcBorders>
          </w:tcPr>
          <w:p>
            <w:pPr>
              <w:spacing w:after="0"/>
              <w:rPr>
                <w:sz w:val="17"/>
                <w:szCs w:val="17"/>
                <w:color w:val="auto"/>
              </w:rPr>
            </w:pPr>
          </w:p>
        </w:tc>
        <w:tc>
          <w:tcPr>
            <w:tcW w:w="1240" w:type="dxa"/>
            <w:vAlign w:val="bottom"/>
            <w:tcBorders>
              <w:top w:val="single" w:sz="8" w:color="CFF0FC"/>
            </w:tcBorders>
          </w:tcPr>
          <w:p>
            <w:pPr>
              <w:jc w:val="right"/>
              <w:ind w:right="105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w w:val="96"/>
              </w:rPr>
              <w:t>8.56</w:t>
            </w:r>
          </w:p>
        </w:tc>
        <w:tc>
          <w:tcPr>
            <w:tcW w:w="168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4.04</w:t>
            </w:r>
          </w:p>
        </w:tc>
        <w:tc>
          <w:tcPr>
            <w:tcW w:w="260" w:type="dxa"/>
            <w:vAlign w:val="bottom"/>
            <w:tcBorders>
              <w:top w:val="single" w:sz="8" w:color="CFF0FC"/>
            </w:tcBorders>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61,279</w:t>
            </w:r>
          </w:p>
        </w:tc>
        <w:tc>
          <w:tcPr>
            <w:tcW w:w="100" w:type="dxa"/>
            <w:vAlign w:val="bottom"/>
            <w:tcBorders>
              <w:top w:val="single" w:sz="8" w:color="CFF0FC"/>
            </w:tcBorders>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7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Exercisable at March 31, 2025</w:t>
            </w:r>
          </w:p>
        </w:tc>
        <w:tc>
          <w:tcPr>
            <w:tcW w:w="1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3,479,030</w:t>
            </w: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ind w:right="105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6"/>
              </w:rPr>
              <w:t>8.55</w:t>
            </w:r>
          </w:p>
        </w:tc>
        <w:tc>
          <w:tcPr>
            <w:tcW w:w="16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4.03</w:t>
            </w:r>
          </w:p>
        </w:tc>
        <w:tc>
          <w:tcPr>
            <w:tcW w:w="26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61,046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524"/>
        </w:trPr>
        <w:tc>
          <w:tcPr>
            <w:tcW w:w="4740" w:type="dxa"/>
            <w:vAlign w:val="bottom"/>
          </w:tcPr>
          <w:p>
            <w:pPr>
              <w:spacing w:after="0"/>
              <w:rPr>
                <w:sz w:val="24"/>
                <w:szCs w:val="24"/>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47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-1148080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-856615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-839470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5" w:name="page16"/>
    <w:bookmarkEnd w:id="15"/>
    <w:p>
      <w:pPr>
        <w:jc w:val="both"/>
        <w:ind w:right="20" w:firstLine="494"/>
        <w:spacing w:after="0" w:line="271" w:lineRule="auto"/>
        <w:rPr>
          <w:sz w:val="20"/>
          <w:szCs w:val="20"/>
          <w:color w:val="auto"/>
        </w:rPr>
      </w:pPr>
      <w:r>
        <w:rPr>
          <w:rFonts w:ascii="Arial" w:cs="Arial" w:eastAsia="Arial" w:hAnsi="Arial"/>
          <w:sz w:val="18"/>
          <w:szCs w:val="18"/>
          <w:color w:val="auto"/>
        </w:rPr>
        <w:t>There were no options granted during the three months ended March 31, 2025. Aggregate intrinsic value represents the difference between the exercise price of the options and the fair value of the Company’s common stock.</w:t>
      </w:r>
    </w:p>
    <w:p>
      <w:pPr>
        <w:spacing w:after="0" w:line="46"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At March 31, 2025, there was $0.1 million of total unrecognized compensation cost related to unvested stock options granted under the 2012 Equity Incentive Plan, which is expected to be recognized over a remaining weighted-average period of 0.7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("RSUs")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Company’s RSU activity during the three months ended March 31, 2025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7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788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RSUs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Grant Date</w:t>
            </w:r>
          </w:p>
        </w:tc>
      </w:tr>
      <w:tr>
        <w:trPr>
          <w:trHeight w:val="221"/>
        </w:trPr>
        <w:tc>
          <w:tcPr>
            <w:tcW w:w="7880" w:type="dxa"/>
            <w:vAlign w:val="bottom"/>
          </w:tcPr>
          <w:p>
            <w:pPr>
              <w:spacing w:after="0"/>
              <w:rPr>
                <w:sz w:val="19"/>
                <w:szCs w:val="19"/>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r>
      <w:tr>
        <w:trPr>
          <w:trHeight w:val="196"/>
        </w:trPr>
        <w:tc>
          <w:tcPr>
            <w:tcW w:w="7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Awarded and unvested at December 31, 2024</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2,096,168</w:t>
            </w:r>
          </w:p>
        </w:tc>
        <w:tc>
          <w:tcPr>
            <w:tcW w:w="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16.01</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Awards granted</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583,582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29.23</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Awards vested</w:t>
            </w: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(328,201)</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17.18</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ind w:left="220"/>
              <w:spacing w:after="0" w:line="202" w:lineRule="exact"/>
              <w:rPr>
                <w:sz w:val="20"/>
                <w:szCs w:val="20"/>
                <w:color w:val="auto"/>
              </w:rPr>
            </w:pPr>
            <w:r>
              <w:rPr>
                <w:rFonts w:ascii="Arial" w:cs="Arial" w:eastAsia="Arial" w:hAnsi="Arial"/>
                <w:sz w:val="18"/>
                <w:szCs w:val="18"/>
                <w:color w:val="auto"/>
              </w:rPr>
              <w:t>Awards forfeited</w:t>
            </w: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(35,796)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15.98</w:t>
            </w:r>
          </w:p>
        </w:tc>
        <w:tc>
          <w:tcPr>
            <w:tcW w:w="100" w:type="dxa"/>
            <w:vAlign w:val="bottom"/>
          </w:tcPr>
          <w:p>
            <w:pPr>
              <w:spacing w:after="0"/>
              <w:rPr>
                <w:sz w:val="17"/>
                <w:szCs w:val="17"/>
                <w:color w:val="auto"/>
              </w:rPr>
            </w:pPr>
          </w:p>
        </w:tc>
      </w:tr>
      <w:tr>
        <w:trPr>
          <w:trHeight w:val="236"/>
        </w:trPr>
        <w:tc>
          <w:tcPr>
            <w:tcW w:w="78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Awarded and unvested at March 31, 2025</w:t>
            </w:r>
          </w:p>
        </w:tc>
        <w:tc>
          <w:tcPr>
            <w:tcW w:w="1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2,315,753</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19.18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fair value of RSU grants is determined based upon the market closing price of the Company’s Class A common stock on the date of grant. RSUs vest over the requisite service period, which is one year from the date of grant for directors and generally ranges between four years and five years from the date of grant for employees, subject to provision of services for non-employees and continued employment for employees.</w:t>
      </w:r>
    </w:p>
    <w:p>
      <w:pPr>
        <w:spacing w:after="0" w:line="6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At March 31, 2025, there was $42.6 million of total unrecognized compensation cost related to unvested RSUs granted under the 2021 Plan, which is expected to be recognized over a remaining weighted-average period of 3.9 years.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(including amortization of capitalized warrants cost for the three months ended March 31, 2025)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condensed consolidated statements of operations was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60" w:type="dxa"/>
            <w:vAlign w:val="bottom"/>
          </w:tcPr>
          <w:p>
            <w:pPr>
              <w:spacing w:after="0"/>
              <w:rPr>
                <w:sz w:val="19"/>
                <w:szCs w:val="19"/>
                <w:color w:val="auto"/>
              </w:rPr>
            </w:pPr>
          </w:p>
        </w:tc>
        <w:tc>
          <w:tcPr>
            <w:tcW w:w="348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7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 of revenue</w:t>
            </w:r>
          </w:p>
        </w:tc>
        <w:tc>
          <w:tcPr>
            <w:tcW w:w="1160" w:type="dxa"/>
            <w:vAlign w:val="bottom"/>
            <w:shd w:val="clear" w:color="auto" w:fill="CFF0FC"/>
          </w:tcPr>
          <w:p>
            <w:pPr>
              <w:jc w:val="right"/>
              <w:ind w:right="97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4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1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1,494</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1,310</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1,104</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964</w:t>
            </w:r>
          </w:p>
        </w:tc>
        <w:tc>
          <w:tcPr>
            <w:tcW w:w="100" w:type="dxa"/>
            <w:vAlign w:val="bottom"/>
          </w:tcPr>
          <w:p>
            <w:pPr>
              <w:spacing w:after="0"/>
              <w:rPr>
                <w:sz w:val="17"/>
                <w:szCs w:val="17"/>
                <w:color w:val="auto"/>
              </w:rPr>
            </w:pPr>
          </w:p>
        </w:tc>
      </w:tr>
      <w:tr>
        <w:trPr>
          <w:trHeight w:val="216"/>
        </w:trPr>
        <w:tc>
          <w:tcPr>
            <w:tcW w:w="7760" w:type="dxa"/>
            <w:vAlign w:val="bottom"/>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stock-based compensation</w:t>
            </w:r>
          </w:p>
        </w:tc>
        <w:tc>
          <w:tcPr>
            <w:tcW w:w="1160" w:type="dxa"/>
            <w:vAlign w:val="bottom"/>
            <w:shd w:val="clear" w:color="auto" w:fill="CFF0FC"/>
          </w:tcPr>
          <w:p>
            <w:pPr>
              <w:jc w:val="right"/>
              <w:ind w:right="97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3,545</w:t>
            </w:r>
          </w:p>
        </w:tc>
        <w:tc>
          <w:tcPr>
            <w:tcW w:w="44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2,933</w:t>
            </w:r>
          </w:p>
        </w:tc>
        <w:tc>
          <w:tcPr>
            <w:tcW w:w="100" w:type="dxa"/>
            <w:vAlign w:val="bottom"/>
            <w:shd w:val="clear" w:color="auto" w:fill="CFF0FC"/>
          </w:tcPr>
          <w:p>
            <w:pPr>
              <w:spacing w:after="0"/>
              <w:rPr>
                <w:sz w:val="18"/>
                <w:szCs w:val="18"/>
                <w:color w:val="auto"/>
              </w:rPr>
            </w:pP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Company computes its tax provision for the three months ended March 31, 2025 by applying the estimated annual effective tax rate to year-to-date income from recurring operations and adjusting for discrete items arising in that quarter.</w:t>
      </w:r>
    </w:p>
    <w:p>
      <w:pPr>
        <w:spacing w:after="0" w:line="46"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The Company’s effective tax rate for the three months ended March 31, 2025 and 2024 was 22.4% and 32.8%, respectively. The difference between the Company’s effective tax rate and the U.S. federal statutory rate of 21% in the above periods was primarily the result of permanent differences for disallowed stock-based compensation pursuant to Internal Revenue Code ("IRC") Section 162(m), state taxes and discrete benefits for excess tax benefits on stock-based compensation. In 2024, it was primarily the result of permanent differences for disallowed stock-based compensation pursuant to IRC Section 162(m), state taxes and the impact of the full valuation allowance that has since been released.</w:t>
      </w:r>
    </w:p>
    <w:p>
      <w:pPr>
        <w:spacing w:after="0" w:line="71"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The Company forecasts an estimated effective tax rate in 2025, exclusive of discrete benefits, of 27%, which primarily differs from the U.S. federal statutory rate due to state taxes and permanent differences on nondeductible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 Attributable to Common Stock</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Basic net income per share attributable to common stock is computed by dividing net income for the period by the weighted average number of common shares outstanding during the period.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6" w:name="page17"/>
    <w:bookmarkEnd w:id="16"/>
    <w:p>
      <w:pPr>
        <w:jc w:val="both"/>
        <w:ind w:firstLine="494"/>
        <w:spacing w:after="0" w:line="247" w:lineRule="auto"/>
        <w:rPr>
          <w:sz w:val="20"/>
          <w:szCs w:val="20"/>
          <w:color w:val="auto"/>
        </w:rPr>
      </w:pPr>
      <w:r>
        <w:rPr>
          <w:rFonts w:ascii="Arial" w:cs="Arial" w:eastAsia="Arial" w:hAnsi="Arial"/>
          <w:sz w:val="18"/>
          <w:szCs w:val="18"/>
          <w:color w:val="auto"/>
        </w:rPr>
        <w:t>Diluted net income per share attributable to common stock is computed by giving effect to all potentially dilutive common stock equivalents to the extent they are dilutive. The dilutive effect of outstanding options, RSUs and warrants is reflected in diluted net income per share attributable to common stock by application of the treasury stock method. The calculation of diluted net income per share attributable to common stock excludes all anti-dilutive common shares.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spacing w:after="0" w:line="66"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share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6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6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1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1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13,813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7,226</w:t>
            </w:r>
          </w:p>
        </w:tc>
        <w:tc>
          <w:tcPr>
            <w:tcW w:w="100" w:type="dxa"/>
            <w:vAlign w:val="bottom"/>
          </w:tcPr>
          <w:p>
            <w:pPr>
              <w:spacing w:after="0"/>
              <w:rPr>
                <w:sz w:val="17"/>
                <w:szCs w:val="17"/>
                <w:color w:val="auto"/>
              </w:rPr>
            </w:pPr>
          </w:p>
        </w:tc>
      </w:tr>
      <w:tr>
        <w:trPr>
          <w:trHeight w:val="203"/>
        </w:trPr>
        <w:tc>
          <w:tcPr>
            <w:tcW w:w="6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Denominator:</w:t>
            </w:r>
          </w:p>
        </w:tc>
        <w:tc>
          <w:tcPr>
            <w:tcW w:w="1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Weighted-average shares of common stock — basic</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124,941,781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123,945,778</w:t>
            </w:r>
          </w:p>
        </w:tc>
        <w:tc>
          <w:tcPr>
            <w:tcW w:w="100" w:type="dxa"/>
            <w:vAlign w:val="bottom"/>
          </w:tcPr>
          <w:p>
            <w:pPr>
              <w:spacing w:after="0"/>
              <w:rPr>
                <w:sz w:val="17"/>
                <w:szCs w:val="17"/>
                <w:color w:val="auto"/>
              </w:rPr>
            </w:pPr>
          </w:p>
        </w:tc>
      </w:tr>
      <w:tr>
        <w:trPr>
          <w:trHeight w:val="203"/>
        </w:trPr>
        <w:tc>
          <w:tcPr>
            <w:tcW w:w="63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Dilutive effect of stock options</w:t>
            </w:r>
          </w:p>
        </w:tc>
        <w:tc>
          <w:tcPr>
            <w:tcW w:w="1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2,509,281</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2,141,741</w:t>
            </w:r>
          </w:p>
        </w:tc>
        <w:tc>
          <w:tcPr>
            <w:tcW w:w="100" w:type="dxa"/>
            <w:vAlign w:val="bottom"/>
            <w:shd w:val="clear" w:color="auto" w:fill="CFF0FC"/>
          </w:tcPr>
          <w:p>
            <w:pPr>
              <w:spacing w:after="0"/>
              <w:rPr>
                <w:sz w:val="17"/>
                <w:szCs w:val="17"/>
                <w:color w:val="auto"/>
              </w:rPr>
            </w:pPr>
          </w:p>
        </w:tc>
      </w:tr>
      <w:tr>
        <w:trPr>
          <w:trHeight w:val="203"/>
        </w:trPr>
        <w:tc>
          <w:tcPr>
            <w:tcW w:w="6340" w:type="dxa"/>
            <w:vAlign w:val="bottom"/>
          </w:tcPr>
          <w:p>
            <w:pPr>
              <w:ind w:left="300"/>
              <w:spacing w:after="0" w:line="202" w:lineRule="exact"/>
              <w:rPr>
                <w:sz w:val="20"/>
                <w:szCs w:val="20"/>
                <w:color w:val="auto"/>
              </w:rPr>
            </w:pPr>
            <w:r>
              <w:rPr>
                <w:rFonts w:ascii="Arial" w:cs="Arial" w:eastAsia="Arial" w:hAnsi="Arial"/>
                <w:sz w:val="18"/>
                <w:szCs w:val="18"/>
                <w:color w:val="auto"/>
              </w:rPr>
              <w:t>Dilutive effect of RSUs</w:t>
            </w: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1,043,077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754,844</w:t>
            </w:r>
          </w:p>
        </w:tc>
        <w:tc>
          <w:tcPr>
            <w:tcW w:w="100" w:type="dxa"/>
            <w:vAlign w:val="bottom"/>
          </w:tcPr>
          <w:p>
            <w:pPr>
              <w:spacing w:after="0"/>
              <w:rPr>
                <w:sz w:val="17"/>
                <w:szCs w:val="17"/>
                <w:color w:val="auto"/>
              </w:rPr>
            </w:pPr>
          </w:p>
        </w:tc>
      </w:tr>
      <w:tr>
        <w:trPr>
          <w:trHeight w:val="202"/>
        </w:trPr>
        <w:tc>
          <w:tcPr>
            <w:tcW w:w="6340" w:type="dxa"/>
            <w:vAlign w:val="bottom"/>
            <w:tcBorders>
              <w:bottom w:val="single" w:sz="8" w:color="CFF0FC"/>
            </w:tcBorders>
            <w:shd w:val="clear" w:color="auto" w:fill="CFF0FC"/>
          </w:tcPr>
          <w:p>
            <w:pPr>
              <w:ind w:left="300"/>
              <w:spacing w:after="0" w:line="202" w:lineRule="exact"/>
              <w:rPr>
                <w:sz w:val="20"/>
                <w:szCs w:val="20"/>
                <w:color w:val="auto"/>
              </w:rPr>
            </w:pPr>
            <w:r>
              <w:rPr>
                <w:rFonts w:ascii="Arial" w:cs="Arial" w:eastAsia="Arial" w:hAnsi="Arial"/>
                <w:sz w:val="18"/>
                <w:szCs w:val="18"/>
                <w:color w:val="auto"/>
              </w:rPr>
              <w:t>Dilutive effect of warrants</w:t>
            </w:r>
          </w:p>
        </w:tc>
        <w:tc>
          <w:tcPr>
            <w:tcW w:w="15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307,835</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75,291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4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Weighted-average shares of common stock — diluted</w:t>
            </w:r>
          </w:p>
        </w:tc>
        <w:tc>
          <w:tcPr>
            <w:tcW w:w="1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128,801,974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126,917,654</w:t>
            </w:r>
          </w:p>
        </w:tc>
        <w:tc>
          <w:tcPr>
            <w:tcW w:w="100" w:type="dxa"/>
            <w:vAlign w:val="bottom"/>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3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income per share</w:t>
            </w:r>
          </w:p>
        </w:tc>
        <w:tc>
          <w:tcPr>
            <w:tcW w:w="1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0.11</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100" w:type="dxa"/>
            <w:vAlign w:val="bottom"/>
          </w:tcPr>
          <w:p>
            <w:pPr>
              <w:spacing w:after="0"/>
              <w:rPr>
                <w:sz w:val="17"/>
                <w:szCs w:val="17"/>
                <w:color w:val="auto"/>
              </w:rPr>
            </w:pPr>
          </w:p>
        </w:tc>
      </w:tr>
      <w:tr>
        <w:trPr>
          <w:trHeight w:val="203"/>
        </w:trPr>
        <w:tc>
          <w:tcPr>
            <w:tcW w:w="63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17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0.11</w:t>
            </w:r>
          </w:p>
        </w:tc>
        <w:tc>
          <w:tcPr>
            <w:tcW w:w="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0.06</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-548005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following table summarizes the weighted average securities that were excluded from the computation of diluted net income per share attributable to common stock as their inclusion would have been antidilutive:</w:t>
      </w:r>
    </w:p>
    <w:p>
      <w:pPr>
        <w:spacing w:after="0" w:line="46"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Three Months Ended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89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RSUs</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2,599</w:t>
            </w:r>
          </w:p>
        </w:tc>
        <w:tc>
          <w:tcPr>
            <w:tcW w:w="1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457,373</w:t>
            </w:r>
          </w:p>
        </w:tc>
        <w:tc>
          <w:tcPr>
            <w:tcW w:w="100" w:type="dxa"/>
            <w:vAlign w:val="bottom"/>
            <w:shd w:val="clear" w:color="auto" w:fill="CFF0FC"/>
          </w:tcPr>
          <w:p>
            <w:pPr>
              <w:spacing w:after="0"/>
              <w:rPr>
                <w:sz w:val="17"/>
                <w:szCs w:val="17"/>
                <w:color w:val="auto"/>
              </w:rPr>
            </w:pPr>
          </w:p>
        </w:tc>
      </w:tr>
      <w:tr>
        <w:trPr>
          <w:trHeight w:val="239"/>
        </w:trPr>
        <w:tc>
          <w:tcPr>
            <w:tcW w:w="89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448,881</w:t>
            </w:r>
          </w:p>
        </w:tc>
        <w:tc>
          <w:tcPr>
            <w:tcW w:w="100" w:type="dxa"/>
            <w:vAlign w:val="bottom"/>
          </w:tcPr>
          <w:p>
            <w:pPr>
              <w:spacing w:after="0"/>
              <w:rPr>
                <w:sz w:val="20"/>
                <w:szCs w:val="20"/>
                <w:color w:val="auto"/>
              </w:rPr>
            </w:pPr>
          </w:p>
        </w:tc>
      </w:tr>
      <w:tr>
        <w:trPr>
          <w:trHeight w:val="508"/>
        </w:trPr>
        <w:tc>
          <w:tcPr>
            <w:tcW w:w="7860" w:type="dxa"/>
            <w:vAlign w:val="bottom"/>
          </w:tcPr>
          <w:p>
            <w:pPr>
              <w:jc w:val="right"/>
              <w:ind w:right="2050"/>
              <w:spacing w:after="0"/>
              <w:rPr>
                <w:sz w:val="20"/>
                <w:szCs w:val="20"/>
                <w:color w:val="auto"/>
              </w:rPr>
            </w:pPr>
            <w:r>
              <w:rPr>
                <w:rFonts w:ascii="Arial" w:cs="Arial" w:eastAsia="Arial" w:hAnsi="Arial"/>
                <w:sz w:val="18"/>
                <w:szCs w:val="18"/>
                <w:color w:val="auto"/>
              </w:rPr>
              <w:t>17</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78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are a leading provider of cloud-based bill payment technology and solutions. We deliver our next-generation product suite through a modern technology stack to more than 2,500 biller business and financial institution clients. Our platform was used by approximately 46 million consumers and businesses globally in December 2024 to pay their bills, make money movements and engage with our clients. We serve billers of all sizes that primarily provide non-discretionary services across a variety of industry verticals, including utilities, financial services, insurance, government, telecommunications, real estate management, education, consumer finance, healthcare and small business.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75"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Processed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40" w:type="dxa"/>
            <w:vAlign w:val="bottom"/>
            <w:gridSpan w:val="6"/>
          </w:tcPr>
          <w:p>
            <w:pPr>
              <w:jc w:val="center"/>
              <w:ind w:right="122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196"/>
        </w:trPr>
        <w:tc>
          <w:tcPr>
            <w:tcW w:w="6160" w:type="dxa"/>
            <w:vAlign w:val="bottom"/>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w w:val="99"/>
              </w:rPr>
              <w:t>2024</w:t>
            </w: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ind w:left="360"/>
              <w:spacing w:after="0" w:line="196" w:lineRule="exact"/>
              <w:rPr>
                <w:sz w:val="20"/>
                <w:szCs w:val="20"/>
                <w:color w:val="auto"/>
              </w:rPr>
            </w:pPr>
            <w:r>
              <w:rPr>
                <w:rFonts w:ascii="Arial" w:cs="Arial" w:eastAsia="Arial" w:hAnsi="Arial"/>
                <w:sz w:val="18"/>
                <w:szCs w:val="18"/>
                <w:b w:val="1"/>
                <w:bCs w:val="1"/>
                <w:color w:val="auto"/>
              </w:rPr>
              <w:t>% Growth</w:t>
            </w:r>
          </w:p>
        </w:tc>
        <w:tc>
          <w:tcPr>
            <w:tcW w:w="180" w:type="dxa"/>
            <w:vAlign w:val="bottom"/>
          </w:tcPr>
          <w:p>
            <w:pPr>
              <w:spacing w:after="0"/>
              <w:rPr>
                <w:sz w:val="17"/>
                <w:szCs w:val="17"/>
                <w:color w:val="auto"/>
              </w:rPr>
            </w:pPr>
          </w:p>
        </w:tc>
      </w:tr>
      <w:tr>
        <w:trPr>
          <w:trHeight w:val="196"/>
        </w:trPr>
        <w:tc>
          <w:tcPr>
            <w:tcW w:w="61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200" w:type="dxa"/>
            <w:vAlign w:val="bottom"/>
            <w:gridSpan w:val="2"/>
            <w:shd w:val="clear" w:color="auto" w:fill="CFF0FC"/>
          </w:tcPr>
          <w:p>
            <w:pPr>
              <w:jc w:val="right"/>
              <w:ind w:right="5190"/>
              <w:spacing w:after="0" w:line="202" w:lineRule="exact"/>
              <w:rPr>
                <w:sz w:val="20"/>
                <w:szCs w:val="20"/>
                <w:color w:val="auto"/>
              </w:rPr>
            </w:pPr>
            <w:r>
              <w:rPr>
                <w:rFonts w:ascii="Arial" w:cs="Arial" w:eastAsia="Arial" w:hAnsi="Arial"/>
                <w:sz w:val="18"/>
                <w:szCs w:val="18"/>
                <w:color w:val="auto"/>
                <w:w w:val="99"/>
              </w:rPr>
              <w:t>Transactions processed</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173.2</w:t>
            </w:r>
          </w:p>
        </w:tc>
        <w:tc>
          <w:tcPr>
            <w:tcW w:w="1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135.3</w:t>
            </w:r>
          </w:p>
        </w:tc>
        <w:tc>
          <w:tcPr>
            <w:tcW w:w="18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28.0%</w:t>
            </w:r>
          </w:p>
        </w:tc>
      </w:tr>
    </w:tbl>
    <w:p>
      <w:pPr>
        <w:spacing w:after="0" w:line="89"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number of transactions processed during the three months ended March 31, 2025 increased approximately 28.0% as compared to the same period in 2024. The increase was primarily driven by the addition of new billers and increased transactions from our existing billers.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discussion below includes a number of forward-looking statements regarding our future performance. For a discussion of important factors, including the continuing development of our business and other factors which could cause actual results to differ materially from matters referred to below, see the discussions under “Risk Factors” and “Special Note Regarding Forward-Looking Statements” herein and in the 2024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Economic and Inflationary Trends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Economic uncertainty increased meaningfully in the first quarter of 2025, driven by growing concerns around new or evolving trade and tariff policies, geopolitical tensions, inflationary pressures, and the interest rate outlook. These factors have introduced a significant level of uncertainty to the economic outlook for the remainder of the year. The risk of a recession or tighter credit markets could lead certain customers to scale back spending, adopt lower-cost payment methods, or suspend operations. These shifts may adversely impact our performance through the rest of 2025.</w:t>
      </w:r>
    </w:p>
    <w:p>
      <w:pPr>
        <w:spacing w:after="0" w:line="6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Additionally, elevated inflation could negatively affect our results due to the time lag between inflationary impacts and our ability to adjust pricing strategies. We are closely monitoring these trends and will take further action as needed to maintain operational resilience, while continuing to adapt our financial and operational approach in response to evolving macroeconomic conditions.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Contribution Profit</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We calculate contribution profit as gross profit plus other cost of revenue. Other cost of revenue equals cost of revenue less interchange and assessment fees paid by us to our payment processors.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calculate adjusted gross profit as gross profit adjusted for non-cash items, primarily stock-based compensation and amortization of acquisition-related intangible assets and capitalized software development costs.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calculate adjusted EBITDA as net income before interest income (expense), net, other income (expense), depreciation and amortization of acquisition-related intangible assets and capitalized software development costs, and income taxes, adjusted to exclude the effects of net foreign exchange gain (loss), stock-based compensation expense and certain nonrecurring expenses that management believes are not indicative of ongoing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calculate free cash flow as net cash provided by (used in) operating activities less capital expenditures, other intangible assets acquired, and capitalized internal-use software development costs.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use Non-GAAP Measures</w:t>
      </w:r>
    </w:p>
    <w:p>
      <w:pPr>
        <w:spacing w:after="0" w:line="102"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method or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8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also urge you to review the reconciliation of these non-GAAP financial measures included below. To properly and prudently evaluate our business, we encourage you to review the condensed consolidated financial statements and related notes included elsewhere in this report and to not rely on any single financial measure to evaluate our business.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tcPr>
          <w:p>
            <w:pPr>
              <w:spacing w:after="0"/>
              <w:rPr>
                <w:sz w:val="20"/>
                <w:szCs w:val="20"/>
                <w:color w:val="auto"/>
              </w:rPr>
            </w:pPr>
            <w:r>
              <w:rPr>
                <w:rFonts w:ascii="Arial" w:cs="Arial" w:eastAsia="Arial" w:hAnsi="Arial"/>
                <w:sz w:val="18"/>
                <w:szCs w:val="18"/>
                <w:i w:val="1"/>
                <w:iCs w:val="1"/>
                <w:color w:val="auto"/>
              </w:rPr>
              <w:t>Contribution Profit</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3"/>
        </w:trPr>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8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7"/>
                <w:szCs w:val="17"/>
                <w:color w:val="auto"/>
              </w:rPr>
            </w:pPr>
          </w:p>
        </w:tc>
      </w:tr>
      <w:tr>
        <w:trPr>
          <w:trHeight w:val="196"/>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66,024</w:t>
            </w:r>
          </w:p>
        </w:tc>
        <w:tc>
          <w:tcPr>
            <w:tcW w:w="62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52,725</w:t>
            </w: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100"/>
              <w:spacing w:after="0" w:line="202" w:lineRule="exact"/>
              <w:rPr>
                <w:sz w:val="20"/>
                <w:szCs w:val="20"/>
                <w:color w:val="auto"/>
              </w:rPr>
            </w:pPr>
            <w:r>
              <w:rPr>
                <w:rFonts w:ascii="Arial" w:cs="Arial" w:eastAsia="Arial" w:hAnsi="Arial"/>
                <w:sz w:val="18"/>
                <w:szCs w:val="18"/>
                <w:color w:val="auto"/>
              </w:rPr>
              <w:t>Plus: other cost of revenue</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21,618</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16,642</w:t>
            </w:r>
          </w:p>
        </w:tc>
        <w:tc>
          <w:tcPr>
            <w:tcW w:w="100" w:type="dxa"/>
            <w:vAlign w:val="bottom"/>
          </w:tcPr>
          <w:p>
            <w:pPr>
              <w:spacing w:after="0"/>
              <w:rPr>
                <w:sz w:val="17"/>
                <w:szCs w:val="17"/>
                <w:color w:val="auto"/>
              </w:rPr>
            </w:pPr>
          </w:p>
        </w:tc>
      </w:tr>
      <w:tr>
        <w:trPr>
          <w:trHeight w:val="236"/>
        </w:trPr>
        <w:tc>
          <w:tcPr>
            <w:tcW w:w="78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Contribution profit</w:t>
            </w: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87,642</w:t>
            </w:r>
          </w:p>
        </w:tc>
        <w:tc>
          <w:tcPr>
            <w:tcW w:w="1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30"/>
              <w:spacing w:after="0" w:line="182"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69,367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In general, contribution profit is driven by the number of transactions we process offset by network fees associated with processing those transactions. The amount of contribution profit per transaction may vary due to a variety of factors substantially outside of our control, including client size, type and industry as well as whether the client is a biller, financial institution or other partner. Contribution profit for the three months ended March 31, 2025 increased approximately 26.3%, as compared to the same period in 2024. The increase was primarily driven by growth in transaction count and volume driven by the addition of new billers and financial institutions and increased transactions from our existing billers and financial institutions.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7"/>
        </w:trPr>
        <w:tc>
          <w:tcPr>
            <w:tcW w:w="7860" w:type="dxa"/>
            <w:vAlign w:val="bottom"/>
          </w:tcPr>
          <w:p>
            <w:pPr>
              <w:spacing w:after="0"/>
              <w:rPr>
                <w:sz w:val="20"/>
                <w:szCs w:val="20"/>
                <w:color w:val="auto"/>
              </w:rPr>
            </w:pPr>
            <w:r>
              <w:rPr>
                <w:rFonts w:ascii="Arial" w:cs="Arial" w:eastAsia="Arial" w:hAnsi="Arial"/>
                <w:sz w:val="18"/>
                <w:szCs w:val="18"/>
                <w:i w:val="1"/>
                <w:iCs w:val="1"/>
                <w:color w:val="auto"/>
              </w:rPr>
              <w:t>Adjusted Gross Profit</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3"/>
        </w:trPr>
        <w:tc>
          <w:tcPr>
            <w:tcW w:w="7860" w:type="dxa"/>
            <w:vAlign w:val="bottom"/>
          </w:tcPr>
          <w:p>
            <w:pPr>
              <w:spacing w:after="0"/>
              <w:rPr>
                <w:sz w:val="24"/>
                <w:szCs w:val="24"/>
                <w:color w:val="auto"/>
              </w:rPr>
            </w:pPr>
          </w:p>
        </w:tc>
        <w:tc>
          <w:tcPr>
            <w:tcW w:w="338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8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7"/>
                <w:szCs w:val="17"/>
                <w:color w:val="auto"/>
              </w:rPr>
            </w:pPr>
          </w:p>
        </w:tc>
      </w:tr>
      <w:tr>
        <w:trPr>
          <w:trHeight w:val="196"/>
        </w:trPr>
        <w:tc>
          <w:tcPr>
            <w:tcW w:w="7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b w:val="1"/>
                <w:bCs w:val="1"/>
                <w:color w:val="auto"/>
              </w:rPr>
              <w:t>Gross profit</w:t>
            </w:r>
          </w:p>
        </w:tc>
        <w:tc>
          <w:tcPr>
            <w:tcW w:w="1000" w:type="dxa"/>
            <w:vAlign w:val="bottom"/>
            <w:shd w:val="clear" w:color="auto" w:fill="CFF0FC"/>
          </w:tcPr>
          <w:p>
            <w:pPr>
              <w:jc w:val="right"/>
              <w:ind w:right="810"/>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66,024</w:t>
            </w:r>
          </w:p>
        </w:tc>
        <w:tc>
          <w:tcPr>
            <w:tcW w:w="680" w:type="dxa"/>
            <w:vAlign w:val="bottom"/>
            <w:gridSpan w:val="2"/>
            <w:shd w:val="clear" w:color="auto" w:fill="CFF0FC"/>
          </w:tcPr>
          <w:p>
            <w:pPr>
              <w:jc w:val="right"/>
              <w:ind w:right="46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52,725</w:t>
            </w: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5,638</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4,029</w:t>
            </w: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acquisition-related intangibles</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828</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830</w:t>
            </w:r>
          </w:p>
        </w:tc>
        <w:tc>
          <w:tcPr>
            <w:tcW w:w="100" w:type="dxa"/>
            <w:vAlign w:val="bottom"/>
          </w:tcPr>
          <w:p>
            <w:pPr>
              <w:spacing w:after="0"/>
              <w:rPr>
                <w:sz w:val="17"/>
                <w:szCs w:val="17"/>
                <w:color w:val="auto"/>
              </w:rPr>
            </w:pPr>
          </w:p>
        </w:tc>
      </w:tr>
      <w:tr>
        <w:trPr>
          <w:trHeight w:val="216"/>
        </w:trPr>
        <w:tc>
          <w:tcPr>
            <w:tcW w:w="786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Adjusted gross profit</w:t>
            </w:r>
          </w:p>
        </w:tc>
        <w:tc>
          <w:tcPr>
            <w:tcW w:w="1000" w:type="dxa"/>
            <w:vAlign w:val="bottom"/>
            <w:shd w:val="clear" w:color="auto" w:fill="CFF0FC"/>
          </w:tcPr>
          <w:p>
            <w:pPr>
              <w:jc w:val="right"/>
              <w:ind w:right="810"/>
              <w:spacing w:after="0" w:line="182"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72,556</w:t>
            </w:r>
          </w:p>
        </w:tc>
        <w:tc>
          <w:tcPr>
            <w:tcW w:w="680" w:type="dxa"/>
            <w:vAlign w:val="bottom"/>
            <w:gridSpan w:val="2"/>
            <w:shd w:val="clear" w:color="auto" w:fill="CFF0FC"/>
          </w:tcPr>
          <w:p>
            <w:pPr>
              <w:jc w:val="right"/>
              <w:ind w:right="460"/>
              <w:spacing w:after="0" w:line="182"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57,635</w:t>
            </w:r>
          </w:p>
        </w:tc>
        <w:tc>
          <w:tcPr>
            <w:tcW w:w="100" w:type="dxa"/>
            <w:vAlign w:val="bottom"/>
            <w:shd w:val="clear" w:color="auto" w:fill="CFF0FC"/>
          </w:tcPr>
          <w:p>
            <w:pPr>
              <w:spacing w:after="0"/>
              <w:rPr>
                <w:sz w:val="18"/>
                <w:szCs w:val="18"/>
                <w:color w:val="auto"/>
              </w:rPr>
            </w:pPr>
          </w:p>
        </w:tc>
      </w:tr>
      <w:tr>
        <w:trPr>
          <w:trHeight w:val="20"/>
        </w:trPr>
        <w:tc>
          <w:tcPr>
            <w:tcW w:w="78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Adjusted gross profit for the three months ended March 31, 2025 increased 25.9%, as compared to the same period in 2024. Adjusted gross profit improved in line with contribution profit. Adjusted gross profit as a percentage of contribution profit decreased modestly, as a result of changes in customer mix resulting primarily from the addition of large, high-volume enterprise billers with lower margins in our biller mix. This decline was partially offset the realization of economies of scale. Adjusted gross profit is driven primarily by the same factors that impact gross profit with the exception of excluding the amortization and stock-based compensation recorded in cost of revenue. The increase in amortization was driven by additional capitalization of software development costs.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tcPr>
          <w:p>
            <w:pPr>
              <w:spacing w:after="0"/>
              <w:rPr>
                <w:sz w:val="20"/>
                <w:szCs w:val="20"/>
                <w:color w:val="auto"/>
              </w:rPr>
            </w:pPr>
            <w:r>
              <w:rPr>
                <w:rFonts w:ascii="Arial" w:cs="Arial" w:eastAsia="Arial" w:hAnsi="Arial"/>
                <w:sz w:val="18"/>
                <w:szCs w:val="18"/>
                <w:i w:val="1"/>
                <w:iCs w:val="1"/>
                <w:color w:val="auto"/>
              </w:rPr>
              <w:t>Adjusted EBITDA</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3"/>
        </w:trPr>
        <w:tc>
          <w:tcPr>
            <w:tcW w:w="7860" w:type="dxa"/>
            <w:vAlign w:val="bottom"/>
          </w:tcPr>
          <w:p>
            <w:pPr>
              <w:spacing w:after="0"/>
              <w:rPr>
                <w:sz w:val="24"/>
                <w:szCs w:val="24"/>
                <w:color w:val="auto"/>
              </w:rPr>
            </w:pPr>
          </w:p>
        </w:tc>
        <w:tc>
          <w:tcPr>
            <w:tcW w:w="33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8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7"/>
                <w:szCs w:val="17"/>
                <w:color w:val="auto"/>
              </w:rPr>
            </w:pPr>
          </w:p>
        </w:tc>
      </w:tr>
      <w:tr>
        <w:trPr>
          <w:trHeight w:val="196"/>
        </w:trPr>
        <w:tc>
          <w:tcPr>
            <w:tcW w:w="7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income — GAAP</w:t>
            </w:r>
          </w:p>
        </w:tc>
        <w:tc>
          <w:tcPr>
            <w:tcW w:w="1000" w:type="dxa"/>
            <w:vAlign w:val="bottom"/>
            <w:shd w:val="clear" w:color="auto" w:fill="CFF0FC"/>
          </w:tcPr>
          <w:p>
            <w:pPr>
              <w:jc w:val="right"/>
              <w:ind w:right="810"/>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13,813</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7,226</w:t>
            </w: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100"/>
              <w:spacing w:after="0" w:line="202" w:lineRule="exact"/>
              <w:rPr>
                <w:sz w:val="20"/>
                <w:szCs w:val="20"/>
                <w:color w:val="auto"/>
              </w:rPr>
            </w:pPr>
            <w:r>
              <w:rPr>
                <w:rFonts w:ascii="Arial" w:cs="Arial" w:eastAsia="Arial" w:hAnsi="Arial"/>
                <w:sz w:val="18"/>
                <w:szCs w:val="18"/>
                <w:color w:val="auto"/>
              </w:rPr>
              <w:t>Interest income, net</w:t>
            </w:r>
          </w:p>
        </w:tc>
        <w:tc>
          <w:tcPr>
            <w:tcW w:w="100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(2,062)</w:t>
            </w:r>
          </w:p>
        </w:tc>
        <w:tc>
          <w:tcPr>
            <w:tcW w:w="56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(2,186)</w:t>
            </w:r>
          </w:p>
        </w:tc>
      </w:tr>
      <w:tr>
        <w:trPr>
          <w:trHeight w:val="203"/>
        </w:trPr>
        <w:tc>
          <w:tcPr>
            <w:tcW w:w="7860" w:type="dxa"/>
            <w:vAlign w:val="bottom"/>
            <w:shd w:val="clear" w:color="auto" w:fill="CFF0FC"/>
          </w:tcPr>
          <w:p>
            <w:pPr>
              <w:ind w:left="100"/>
              <w:spacing w:after="0" w:line="202" w:lineRule="exact"/>
              <w:rPr>
                <w:sz w:val="20"/>
                <w:szCs w:val="20"/>
                <w:color w:val="auto"/>
              </w:rPr>
            </w:pPr>
            <w:r>
              <w:rPr>
                <w:rFonts w:ascii="Arial" w:cs="Arial" w:eastAsia="Arial" w:hAnsi="Arial"/>
                <w:sz w:val="17"/>
                <w:szCs w:val="17"/>
                <w:color w:val="auto"/>
              </w:rPr>
              <w:t>Other income</w:t>
            </w:r>
            <w:r>
              <w:rPr>
                <w:rFonts w:ascii="Arial" w:cs="Arial" w:eastAsia="Arial" w:hAnsi="Arial"/>
                <w:sz w:val="23"/>
                <w:szCs w:val="23"/>
                <w:color w:val="auto"/>
                <w:vertAlign w:val="superscript"/>
              </w:rPr>
              <w:t>(1)</w:t>
            </w:r>
          </w:p>
        </w:tc>
        <w:tc>
          <w:tcPr>
            <w:tcW w:w="10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(213)</w:t>
            </w:r>
          </w:p>
        </w:tc>
      </w:tr>
      <w:tr>
        <w:trPr>
          <w:trHeight w:val="203"/>
        </w:trPr>
        <w:tc>
          <w:tcPr>
            <w:tcW w:w="7860" w:type="dxa"/>
            <w:vAlign w:val="bottom"/>
          </w:tcPr>
          <w:p>
            <w:pPr>
              <w:ind w:left="100"/>
              <w:spacing w:after="0" w:line="202" w:lineRule="exact"/>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3,988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3,534</w:t>
            </w:r>
          </w:p>
        </w:tc>
        <w:tc>
          <w:tcPr>
            <w:tcW w:w="100" w:type="dxa"/>
            <w:vAlign w:val="bottom"/>
          </w:tcPr>
          <w:p>
            <w:pPr>
              <w:spacing w:after="0"/>
              <w:rPr>
                <w:sz w:val="17"/>
                <w:szCs w:val="17"/>
                <w:color w:val="auto"/>
              </w:rPr>
            </w:pPr>
          </w:p>
        </w:tc>
      </w:tr>
      <w:tr>
        <w:trPr>
          <w:trHeight w:val="203"/>
        </w:trPr>
        <w:tc>
          <w:tcPr>
            <w:tcW w:w="78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8,426</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6,311</w:t>
            </w: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acquisition-related intangibles</w:t>
            </w:r>
          </w:p>
        </w:tc>
        <w:tc>
          <w:tcPr>
            <w:tcW w:w="10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2,137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7"/>
                <w:szCs w:val="17"/>
                <w:color w:val="auto"/>
              </w:rPr>
            </w:pPr>
          </w:p>
        </w:tc>
      </w:tr>
      <w:tr>
        <w:trPr>
          <w:trHeight w:val="202"/>
        </w:trPr>
        <w:tc>
          <w:tcPr>
            <w:tcW w:w="78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Depreciation</w:t>
            </w:r>
          </w:p>
        </w:tc>
        <w:tc>
          <w:tcPr>
            <w:tcW w:w="10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177</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60" w:type="dxa"/>
            <w:vAlign w:val="bottom"/>
          </w:tcPr>
          <w:p>
            <w:pPr>
              <w:spacing w:after="0" w:line="182" w:lineRule="exact"/>
              <w:rPr>
                <w:sz w:val="20"/>
                <w:szCs w:val="20"/>
                <w:color w:val="auto"/>
              </w:rPr>
            </w:pPr>
            <w:r>
              <w:rPr>
                <w:rFonts w:ascii="Arial" w:cs="Arial" w:eastAsia="Arial" w:hAnsi="Arial"/>
                <w:sz w:val="18"/>
                <w:szCs w:val="18"/>
                <w:b w:val="1"/>
                <w:bCs w:val="1"/>
                <w:color w:val="auto"/>
              </w:rPr>
              <w:t>EBITDA</w:t>
            </w:r>
          </w:p>
        </w:tc>
        <w:tc>
          <w:tcPr>
            <w:tcW w:w="1000" w:type="dxa"/>
            <w:vAlign w:val="bottom"/>
            <w:tcBorders>
              <w:bottom w:val="single" w:sz="8" w:color="auto"/>
            </w:tcBorders>
          </w:tcPr>
          <w:p>
            <w:pPr>
              <w:jc w:val="right"/>
              <w:ind w:right="810"/>
              <w:spacing w:after="0" w:line="182"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26,479</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16,898</w:t>
            </w:r>
          </w:p>
        </w:tc>
        <w:tc>
          <w:tcPr>
            <w:tcW w:w="10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860" w:type="dxa"/>
            <w:vAlign w:val="bottom"/>
            <w:shd w:val="clear" w:color="auto" w:fill="CFF0FC"/>
          </w:tcPr>
          <w:p>
            <w:pPr>
              <w:spacing w:after="0" w:line="202" w:lineRule="exact"/>
              <w:rPr>
                <w:sz w:val="20"/>
                <w:szCs w:val="20"/>
                <w:color w:val="auto"/>
              </w:rPr>
            </w:pPr>
            <w:r>
              <w:rPr>
                <w:rFonts w:ascii="Arial" w:cs="Arial" w:eastAsia="Arial" w:hAnsi="Arial"/>
                <w:sz w:val="18"/>
                <w:szCs w:val="18"/>
                <w:i w:val="1"/>
                <w:iCs w:val="1"/>
                <w:color w:val="auto"/>
              </w:rPr>
              <w:t>Adjustments</w:t>
            </w:r>
          </w:p>
        </w:tc>
        <w:tc>
          <w:tcPr>
            <w:tcW w:w="10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60" w:type="dxa"/>
            <w:vAlign w:val="bottom"/>
          </w:tcPr>
          <w:p>
            <w:pPr>
              <w:ind w:left="100"/>
              <w:spacing w:after="0" w:line="202" w:lineRule="exact"/>
              <w:rPr>
                <w:sz w:val="20"/>
                <w:szCs w:val="20"/>
                <w:color w:val="auto"/>
              </w:rPr>
            </w:pPr>
            <w:r>
              <w:rPr>
                <w:rFonts w:ascii="Arial" w:cs="Arial" w:eastAsia="Arial" w:hAnsi="Arial"/>
                <w:sz w:val="18"/>
                <w:szCs w:val="18"/>
                <w:color w:val="auto"/>
              </w:rPr>
              <w:t>Foreign exchange gain</w:t>
            </w:r>
          </w:p>
        </w:tc>
        <w:tc>
          <w:tcPr>
            <w:tcW w:w="100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w:t>
            </w:r>
          </w:p>
        </w:tc>
        <w:tc>
          <w:tcPr>
            <w:tcW w:w="56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w:t>
            </w:r>
          </w:p>
        </w:tc>
      </w:tr>
      <w:tr>
        <w:trPr>
          <w:trHeight w:val="202"/>
        </w:trPr>
        <w:tc>
          <w:tcPr>
            <w:tcW w:w="78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3,545</w:t>
            </w:r>
          </w:p>
        </w:tc>
        <w:tc>
          <w:tcPr>
            <w:tcW w:w="100" w:type="dxa"/>
            <w:vAlign w:val="bottom"/>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2,933</w:t>
            </w:r>
          </w:p>
        </w:tc>
        <w:tc>
          <w:tcPr>
            <w:tcW w:w="100" w:type="dxa"/>
            <w:vAlign w:val="bottom"/>
            <w:shd w:val="clear" w:color="auto" w:fill="CFF0FC"/>
          </w:tcPr>
          <w:p>
            <w:pPr>
              <w:spacing w:after="0"/>
              <w:rPr>
                <w:sz w:val="17"/>
                <w:szCs w:val="17"/>
                <w:color w:val="auto"/>
              </w:rPr>
            </w:pPr>
          </w:p>
        </w:tc>
      </w:tr>
      <w:tr>
        <w:trPr>
          <w:trHeight w:val="196"/>
        </w:trPr>
        <w:tc>
          <w:tcPr>
            <w:tcW w:w="7860" w:type="dxa"/>
            <w:vAlign w:val="bottom"/>
          </w:tcPr>
          <w:p>
            <w:pPr>
              <w:spacing w:after="0" w:line="182" w:lineRule="exact"/>
              <w:rPr>
                <w:sz w:val="20"/>
                <w:szCs w:val="20"/>
                <w:color w:val="auto"/>
              </w:rPr>
            </w:pPr>
            <w:r>
              <w:rPr>
                <w:rFonts w:ascii="Arial" w:cs="Arial" w:eastAsia="Arial" w:hAnsi="Arial"/>
                <w:sz w:val="18"/>
                <w:szCs w:val="18"/>
                <w:b w:val="1"/>
                <w:bCs w:val="1"/>
                <w:color w:val="auto"/>
              </w:rPr>
              <w:t>Adjusted EBITDA</w:t>
            </w:r>
          </w:p>
        </w:tc>
        <w:tc>
          <w:tcPr>
            <w:tcW w:w="1000" w:type="dxa"/>
            <w:vAlign w:val="bottom"/>
            <w:tcBorders>
              <w:bottom w:val="single" w:sz="8" w:color="auto"/>
            </w:tcBorders>
          </w:tcPr>
          <w:p>
            <w:pPr>
              <w:jc w:val="right"/>
              <w:ind w:right="810"/>
              <w:spacing w:after="0" w:line="182"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29,974</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19,813</w:t>
            </w:r>
          </w:p>
        </w:tc>
        <w:tc>
          <w:tcPr>
            <w:tcW w:w="100" w:type="dxa"/>
            <w:vAlign w:val="bottom"/>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-831215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3"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Other income consists of a remeasurement adjustment relating to the purchase price of a prior acquisition.</w:t>
      </w:r>
    </w:p>
    <w:p>
      <w:pPr>
        <w:spacing w:after="0" w:line="7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Adjusted EBITDA is a measure of profitability and generally is expected to move in line with revenue, contribution profit, gross profit and adjusted gross profit. Adjusted EBITDA increased 51.3% in the three months ended March 31, 2025, as compared to the same period in 2024. The increase was primarily driven by growth in transaction count and volume driven by the addition of new billers and financial institutions and increased transactions from our existing billers and financial institutions.</w:t>
      </w:r>
    </w:p>
    <w:p>
      <w:pPr>
        <w:sectPr>
          <w:pgSz w:w="11900" w:h="16838" w:orient="portrait"/>
          <w:cols w:equalWidth="0" w:num="1">
            <w:col w:w="11240"/>
          </w:cols>
          <w:pgMar w:left="320" w:top="1081" w:right="339"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340" w:firstLine="94"/>
        <w:spacing w:after="0" w:line="307" w:lineRule="auto"/>
        <w:rPr>
          <w:sz w:val="20"/>
          <w:szCs w:val="20"/>
          <w:color w:val="auto"/>
        </w:rPr>
      </w:pPr>
      <w:r>
        <w:rPr>
          <w:rFonts w:ascii="Arial" w:cs="Arial" w:eastAsia="Arial" w:hAnsi="Arial"/>
          <w:sz w:val="18"/>
          <w:szCs w:val="18"/>
          <w:color w:val="auto"/>
        </w:rPr>
        <w:t xml:space="preserve">Capitalized internal-use software development costs </w:t>
      </w:r>
      <w:r>
        <w:rPr>
          <w:rFonts w:ascii="Arial" w:cs="Arial" w:eastAsia="Arial" w:hAnsi="Arial"/>
          <w:sz w:val="18"/>
          <w:szCs w:val="18"/>
          <w:b w:val="1"/>
          <w:bCs w:val="1"/>
          <w:color w:val="auto"/>
        </w:rPr>
        <w:t>Free cash flow</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Three Months Ended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17"/>
                <w:szCs w:val="17"/>
                <w:color w:val="auto"/>
              </w:rPr>
            </w:pPr>
          </w:p>
        </w:tc>
      </w:tr>
      <w:tr>
        <w:trPr>
          <w:trHeight w:val="177"/>
        </w:trPr>
        <w:tc>
          <w:tcPr>
            <w:tcW w:w="420" w:type="dxa"/>
            <w:vAlign w:val="bottom"/>
          </w:tcPr>
          <w:p>
            <w:pPr>
              <w:spacing w:after="0"/>
              <w:rPr>
                <w:sz w:val="15"/>
                <w:szCs w:val="15"/>
                <w:color w:val="auto"/>
              </w:rPr>
            </w:pPr>
          </w:p>
        </w:tc>
        <w:tc>
          <w:tcPr>
            <w:tcW w:w="2180" w:type="dxa"/>
            <w:vAlign w:val="bottom"/>
            <w:gridSpan w:val="4"/>
          </w:tcPr>
          <w:p>
            <w:pPr>
              <w:jc w:val="right"/>
              <w:spacing w:after="0" w:line="177" w:lineRule="exact"/>
              <w:rPr>
                <w:sz w:val="20"/>
                <w:szCs w:val="20"/>
                <w:color w:val="auto"/>
              </w:rPr>
            </w:pPr>
            <w:r>
              <w:rPr>
                <w:rFonts w:ascii="Arial" w:cs="Arial" w:eastAsia="Arial" w:hAnsi="Arial"/>
                <w:sz w:val="18"/>
                <w:szCs w:val="18"/>
                <w:b w:val="1"/>
                <w:bCs w:val="1"/>
                <w:color w:val="auto"/>
              </w:rPr>
              <w:t>(in thousands)</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50,441</w:t>
            </w:r>
          </w:p>
        </w:tc>
        <w:tc>
          <w:tcPr>
            <w:tcW w:w="80" w:type="dxa"/>
            <w:vAlign w:val="bottom"/>
          </w:tcPr>
          <w:p>
            <w:pPr>
              <w:spacing w:after="0"/>
              <w:rPr>
                <w:sz w:val="17"/>
                <w:szCs w:val="17"/>
                <w:color w:val="auto"/>
              </w:rPr>
            </w:pPr>
          </w:p>
        </w:tc>
        <w:tc>
          <w:tcPr>
            <w:tcW w:w="660" w:type="dxa"/>
            <w:vAlign w:val="bottom"/>
            <w:gridSpan w:val="2"/>
          </w:tcPr>
          <w:p>
            <w:pPr>
              <w:jc w:val="right"/>
              <w:ind w:right="450"/>
              <w:spacing w:after="0" w:line="202" w:lineRule="exact"/>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10,954</w:t>
            </w:r>
          </w:p>
        </w:tc>
        <w:tc>
          <w:tcPr>
            <w:tcW w:w="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w:t>
            </w:r>
          </w:p>
        </w:tc>
      </w:tr>
      <w:tr>
        <w:trPr>
          <w:trHeight w:val="221"/>
        </w:trPr>
        <w:tc>
          <w:tcPr>
            <w:tcW w:w="4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(9,278)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(9,276)</w:t>
            </w:r>
          </w:p>
        </w:tc>
      </w:tr>
      <w:tr>
        <w:trPr>
          <w:trHeight w:val="196"/>
        </w:trPr>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41,103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1,562</w:t>
            </w:r>
          </w:p>
        </w:tc>
        <w:tc>
          <w:tcPr>
            <w:tcW w:w="60" w:type="dxa"/>
            <w:vAlign w:val="bottom"/>
          </w:tcPr>
          <w:p>
            <w:pPr>
              <w:spacing w:after="0"/>
              <w:rPr>
                <w:sz w:val="17"/>
                <w:szCs w:val="17"/>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sectPr>
          <w:pgSz w:w="11900" w:h="16838" w:orient="portrait"/>
          <w:cols w:equalWidth="0" w:num="2">
            <w:col w:w="6600" w:space="720"/>
            <w:col w:w="3920"/>
          </w:cols>
          <w:pgMar w:left="320" w:top="1081" w:right="339" w:bottom="1440" w:gutter="0" w:footer="0" w:header="0"/>
          <w:type w:val="continuous"/>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type w:val="continuous"/>
        </w:sectPr>
      </w:pPr>
    </w:p>
    <w:bookmarkStart w:id="20" w:name="page21"/>
    <w:bookmarkEnd w:id="20"/>
    <w:p>
      <w:pPr>
        <w:ind w:firstLine="494"/>
        <w:spacing w:after="0" w:line="271" w:lineRule="auto"/>
        <w:rPr>
          <w:sz w:val="20"/>
          <w:szCs w:val="20"/>
          <w:color w:val="auto"/>
        </w:rPr>
      </w:pPr>
      <w:r>
        <w:rPr>
          <w:rFonts w:ascii="Arial" w:cs="Arial" w:eastAsia="Arial" w:hAnsi="Arial"/>
          <w:sz w:val="18"/>
          <w:szCs w:val="18"/>
          <w:color w:val="auto"/>
        </w:rPr>
        <w:t>The increase in free cash flow for the three months ended March 31, 2025 was primarily driven by higher cash generated from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statements of operations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Pr>
          <w:p>
            <w:pPr>
              <w:spacing w:after="0"/>
              <w:rPr>
                <w:sz w:val="19"/>
                <w:szCs w:val="19"/>
                <w:color w:val="auto"/>
              </w:rPr>
            </w:pPr>
          </w:p>
        </w:tc>
        <w:tc>
          <w:tcPr>
            <w:tcW w:w="144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2025</w:t>
            </w: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r>
      <w:tr>
        <w:trPr>
          <w:trHeight w:val="196"/>
        </w:trPr>
        <w:tc>
          <w:tcPr>
            <w:tcW w:w="3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14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275,235</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184,875</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90,360</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48.9 %</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209,211</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132,150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77,061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58.3 %</w:t>
            </w:r>
          </w:p>
        </w:tc>
      </w:tr>
      <w:tr>
        <w:trPr>
          <w:trHeight w:val="20"/>
        </w:trPr>
        <w:tc>
          <w:tcPr>
            <w:tcW w:w="3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6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Gross profit</w:t>
            </w: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66,024</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52,725</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13,299</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25.2 %</w:t>
            </w:r>
          </w:p>
        </w:tc>
      </w:tr>
      <w:tr>
        <w:trPr>
          <w:trHeight w:val="203"/>
        </w:trPr>
        <w:tc>
          <w:tcPr>
            <w:tcW w:w="3600" w:type="dxa"/>
            <w:vAlign w:val="bottom"/>
          </w:tcPr>
          <w:p>
            <w:pPr>
              <w:ind w:left="200"/>
              <w:spacing w:after="0" w:line="202" w:lineRule="exact"/>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23"/>
                <w:szCs w:val="23"/>
                <w:i w:val="1"/>
                <w:iCs w:val="1"/>
                <w:color w:val="auto"/>
                <w:vertAlign w:val="superscript"/>
              </w:rPr>
              <w:t>(1)</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20"/>
              <w:spacing w:after="0" w:line="202" w:lineRule="exact"/>
              <w:rPr>
                <w:sz w:val="20"/>
                <w:szCs w:val="20"/>
                <w:color w:val="auto"/>
              </w:rPr>
            </w:pPr>
            <w:r>
              <w:rPr>
                <w:rFonts w:ascii="Arial" w:cs="Arial" w:eastAsia="Arial" w:hAnsi="Arial"/>
                <w:sz w:val="18"/>
                <w:szCs w:val="18"/>
                <w:i w:val="1"/>
                <w:iCs w:val="1"/>
                <w:color w:val="auto"/>
              </w:rPr>
              <w:t>24.0%</w:t>
            </w:r>
          </w:p>
        </w:tc>
        <w:tc>
          <w:tcPr>
            <w:tcW w:w="520" w:type="dxa"/>
            <w:vAlign w:val="bottom"/>
          </w:tcPr>
          <w:p>
            <w:pPr>
              <w:spacing w:after="0"/>
              <w:rPr>
                <w:sz w:val="17"/>
                <w:szCs w:val="17"/>
                <w:color w:val="auto"/>
              </w:rPr>
            </w:pP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i w:val="1"/>
                <w:iCs w:val="1"/>
                <w:color w:val="auto"/>
              </w:rPr>
              <w:t>28.5%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3600" w:type="dxa"/>
            <w:vAlign w:val="bottom"/>
          </w:tcPr>
          <w:p>
            <w:pPr>
              <w:ind w:left="60"/>
              <w:spacing w:after="0" w:line="202" w:lineRule="exact"/>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15,101</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12,051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3,050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25.3 %</w:t>
            </w:r>
          </w:p>
        </w:tc>
      </w:tr>
      <w:tr>
        <w:trPr>
          <w:trHeight w:val="203"/>
        </w:trPr>
        <w:tc>
          <w:tcPr>
            <w:tcW w:w="36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Sales and marketing</w:t>
            </w: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26,051</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23,239</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2,812</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12.1 %</w:t>
            </w:r>
          </w:p>
        </w:tc>
      </w:tr>
      <w:tr>
        <w:trPr>
          <w:trHeight w:val="202"/>
        </w:trPr>
        <w:tc>
          <w:tcPr>
            <w:tcW w:w="3600" w:type="dxa"/>
            <w:vAlign w:val="bottom"/>
          </w:tcPr>
          <w:p>
            <w:pPr>
              <w:ind w:left="60"/>
              <w:spacing w:after="0" w:line="202" w:lineRule="exact"/>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9,183</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9,092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1.0 %</w:t>
            </w:r>
          </w:p>
        </w:tc>
      </w:tr>
      <w:tr>
        <w:trPr>
          <w:trHeight w:val="20"/>
        </w:trPr>
        <w:tc>
          <w:tcPr>
            <w:tcW w:w="3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6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operating expenses</w:t>
            </w: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50,335</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44,382</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5,953</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13.4 %</w:t>
            </w:r>
          </w:p>
        </w:tc>
      </w:tr>
      <w:tr>
        <w:trPr>
          <w:trHeight w:val="20"/>
        </w:trPr>
        <w:tc>
          <w:tcPr>
            <w:tcW w:w="36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3600" w:type="dxa"/>
            <w:vAlign w:val="bottom"/>
          </w:tcPr>
          <w:p>
            <w:pPr>
              <w:ind w:left="140"/>
              <w:spacing w:after="0" w:line="196" w:lineRule="exact"/>
              <w:rPr>
                <w:sz w:val="20"/>
                <w:szCs w:val="20"/>
                <w:color w:val="auto"/>
              </w:rPr>
            </w:pPr>
            <w:r>
              <w:rPr>
                <w:rFonts w:ascii="Arial" w:cs="Arial" w:eastAsia="Arial" w:hAnsi="Arial"/>
                <w:sz w:val="18"/>
                <w:szCs w:val="18"/>
                <w:color w:val="auto"/>
              </w:rPr>
              <w:t>Income from operations</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15,689</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8,343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7,346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88.0 %</w:t>
            </w:r>
          </w:p>
        </w:tc>
      </w:tr>
      <w:tr>
        <w:trPr>
          <w:trHeight w:val="203"/>
        </w:trPr>
        <w:tc>
          <w:tcPr>
            <w:tcW w:w="360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Interest income, net</w:t>
            </w: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2,062</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2,186</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(124)</w:t>
            </w: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(5.7)%</w:t>
            </w:r>
          </w:p>
        </w:tc>
      </w:tr>
      <w:tr>
        <w:trPr>
          <w:trHeight w:val="203"/>
        </w:trPr>
        <w:tc>
          <w:tcPr>
            <w:tcW w:w="3600" w:type="dxa"/>
            <w:vAlign w:val="bottom"/>
          </w:tcPr>
          <w:p>
            <w:pPr>
              <w:ind w:left="60"/>
              <w:spacing w:after="0" w:line="202" w:lineRule="exact"/>
              <w:rPr>
                <w:sz w:val="20"/>
                <w:szCs w:val="20"/>
                <w:color w:val="auto"/>
              </w:rPr>
            </w:pPr>
            <w:r>
              <w:rPr>
                <w:rFonts w:ascii="Arial" w:cs="Arial" w:eastAsia="Arial" w:hAnsi="Arial"/>
                <w:sz w:val="17"/>
                <w:szCs w:val="17"/>
                <w:color w:val="auto"/>
              </w:rPr>
              <w:t xml:space="preserve">Other income </w:t>
            </w:r>
            <w:r>
              <w:rPr>
                <w:rFonts w:ascii="Arial" w:cs="Arial" w:eastAsia="Arial" w:hAnsi="Arial"/>
                <w:sz w:val="23"/>
                <w:szCs w:val="23"/>
                <w:i w:val="1"/>
                <w:iCs w:val="1"/>
                <w:color w:val="auto"/>
                <w:vertAlign w:val="superscript"/>
              </w:rPr>
              <w:t>(2)</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(181)</w:t>
            </w:r>
          </w:p>
        </w:tc>
        <w:tc>
          <w:tcPr>
            <w:tcW w:w="38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(78.4)%</w:t>
            </w:r>
          </w:p>
        </w:tc>
      </w:tr>
      <w:tr>
        <w:trPr>
          <w:trHeight w:val="20"/>
        </w:trPr>
        <w:tc>
          <w:tcPr>
            <w:tcW w:w="3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6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17,801</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10,760</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7,041</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65.4 %</w:t>
            </w:r>
          </w:p>
        </w:tc>
      </w:tr>
      <w:tr>
        <w:trPr>
          <w:trHeight w:val="20"/>
        </w:trPr>
        <w:tc>
          <w:tcPr>
            <w:tcW w:w="36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3600" w:type="dxa"/>
            <w:vAlign w:val="bottom"/>
          </w:tcPr>
          <w:p>
            <w:pPr>
              <w:ind w:left="60"/>
              <w:spacing w:after="0" w:line="196" w:lineRule="exact"/>
              <w:rPr>
                <w:sz w:val="20"/>
                <w:szCs w:val="20"/>
                <w:color w:val="auto"/>
              </w:rPr>
            </w:pPr>
            <w:r>
              <w:rPr>
                <w:rFonts w:ascii="Arial" w:cs="Arial" w:eastAsia="Arial" w:hAnsi="Arial"/>
                <w:sz w:val="18"/>
                <w:szCs w:val="18"/>
                <w:color w:val="auto"/>
              </w:rPr>
              <w:t>Provision for income taxes</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(3,988)</w:t>
            </w:r>
          </w:p>
        </w:tc>
        <w:tc>
          <w:tcPr>
            <w:tcW w:w="520" w:type="dxa"/>
            <w:vAlign w:val="bottom"/>
          </w:tcPr>
          <w:p>
            <w:pPr>
              <w:spacing w:after="0"/>
              <w:rPr>
                <w:sz w:val="17"/>
                <w:szCs w:val="17"/>
                <w:color w:val="auto"/>
              </w:rPr>
            </w:pPr>
          </w:p>
        </w:tc>
        <w:tc>
          <w:tcPr>
            <w:tcW w:w="12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(3,534)</w:t>
            </w:r>
          </w:p>
        </w:tc>
        <w:tc>
          <w:tcPr>
            <w:tcW w:w="340" w:type="dxa"/>
            <w:vAlign w:val="bottom"/>
          </w:tcPr>
          <w:p>
            <w:pPr>
              <w:spacing w:after="0"/>
              <w:rPr>
                <w:sz w:val="17"/>
                <w:szCs w:val="17"/>
                <w:color w:val="auto"/>
              </w:rPr>
            </w:pPr>
          </w:p>
        </w:tc>
        <w:tc>
          <w:tcPr>
            <w:tcW w:w="10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(454)</w:t>
            </w:r>
          </w:p>
        </w:tc>
        <w:tc>
          <w:tcPr>
            <w:tcW w:w="380" w:type="dxa"/>
            <w:vAlign w:val="bottom"/>
          </w:tcPr>
          <w:p>
            <w:pPr>
              <w:spacing w:after="0"/>
              <w:rPr>
                <w:sz w:val="17"/>
                <w:szCs w:val="17"/>
                <w:color w:val="auto"/>
              </w:rPr>
            </w:pP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12.8 %</w:t>
            </w:r>
          </w:p>
        </w:tc>
      </w:tr>
      <w:tr>
        <w:trPr>
          <w:trHeight w:val="20"/>
        </w:trPr>
        <w:tc>
          <w:tcPr>
            <w:tcW w:w="3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36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income</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13,813</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7,226</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6,587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91.2 %</w:t>
            </w: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-830580</wp:posOffset>
            </wp:positionV>
            <wp:extent cx="1111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-830580</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-830580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-830580</wp:posOffset>
            </wp:positionV>
            <wp:extent cx="1543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-299720</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-299720</wp:posOffset>
            </wp:positionV>
            <wp:extent cx="111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-299720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-299720</wp:posOffset>
            </wp:positionV>
            <wp:extent cx="1543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-25400</wp:posOffset>
            </wp:positionV>
            <wp:extent cx="1111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1111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1111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543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53"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Gross margin is calculated as gross profit divided by revenue.</w:t>
      </w:r>
    </w:p>
    <w:p>
      <w:pPr>
        <w:spacing w:after="0" w:line="7" w:lineRule="exact"/>
        <w:rPr>
          <w:rFonts w:ascii="Arial" w:cs="Arial" w:eastAsia="Arial" w:hAnsi="Arial"/>
          <w:sz w:val="23"/>
          <w:szCs w:val="23"/>
          <w:color w:val="auto"/>
          <w:vertAlign w:val="superscript"/>
        </w:rPr>
      </w:pPr>
    </w:p>
    <w:p>
      <w:pPr>
        <w:ind w:right="760" w:firstLine="8"/>
        <w:spacing w:after="0" w:line="224" w:lineRule="auto"/>
        <w:tabs>
          <w:tab w:leader="none" w:pos="187"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Other income for the three months ended March 31, 2024 includes a remeasurement adjustment relating to the purchase price of a prior acquisition.</w:t>
      </w:r>
    </w:p>
    <w:p>
      <w:pPr>
        <w:spacing w:after="0" w:line="76"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The following table presents the components of our condensed consolidated statements of operations for the periods presented as a percentage of revenue:</w:t>
      </w:r>
    </w:p>
    <w:p>
      <w:pPr>
        <w:spacing w:after="0" w:line="46"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Three Months Ended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2025</w:t>
            </w:r>
          </w:p>
        </w:tc>
        <w:tc>
          <w:tcPr>
            <w:tcW w:w="6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r>
      <w:tr>
        <w:trPr>
          <w:trHeight w:val="196"/>
        </w:trPr>
        <w:tc>
          <w:tcPr>
            <w:tcW w:w="83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w:t>
            </w:r>
          </w:p>
        </w:tc>
        <w:tc>
          <w:tcPr>
            <w:tcW w:w="20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w:t>
            </w: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26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76.0%</w:t>
            </w:r>
          </w:p>
        </w:tc>
        <w:tc>
          <w:tcPr>
            <w:tcW w:w="2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71.5%</w:t>
            </w:r>
          </w:p>
        </w:tc>
      </w:tr>
      <w:tr>
        <w:trPr>
          <w:trHeight w:val="20"/>
        </w:trPr>
        <w:tc>
          <w:tcPr>
            <w:tcW w:w="7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71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12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24.0%</w:t>
            </w:r>
          </w:p>
        </w:tc>
        <w:tc>
          <w:tcPr>
            <w:tcW w:w="20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28.5%</w:t>
            </w:r>
          </w:p>
        </w:tc>
      </w:tr>
      <w:tr>
        <w:trPr>
          <w:trHeight w:val="203"/>
        </w:trPr>
        <w:tc>
          <w:tcPr>
            <w:tcW w:w="838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838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8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5.5%</w:t>
            </w:r>
          </w:p>
        </w:tc>
        <w:tc>
          <w:tcPr>
            <w:tcW w:w="20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6.5%</w:t>
            </w:r>
          </w:p>
        </w:tc>
      </w:tr>
      <w:tr>
        <w:trPr>
          <w:trHeight w:val="203"/>
        </w:trPr>
        <w:tc>
          <w:tcPr>
            <w:tcW w:w="83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9.5%</w:t>
            </w:r>
          </w:p>
        </w:tc>
        <w:tc>
          <w:tcPr>
            <w:tcW w:w="2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12.6%</w:t>
            </w:r>
          </w:p>
        </w:tc>
      </w:tr>
      <w:tr>
        <w:trPr>
          <w:trHeight w:val="202"/>
        </w:trPr>
        <w:tc>
          <w:tcPr>
            <w:tcW w:w="71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3.3%</w:t>
            </w:r>
          </w:p>
        </w:tc>
        <w:tc>
          <w:tcPr>
            <w:tcW w:w="20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4.9%</w:t>
            </w:r>
          </w:p>
        </w:tc>
      </w:tr>
      <w:tr>
        <w:trPr>
          <w:trHeight w:val="20"/>
        </w:trPr>
        <w:tc>
          <w:tcPr>
            <w:tcW w:w="71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7120" w:type="dxa"/>
            <w:vAlign w:val="bottom"/>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1260" w:type="dxa"/>
            <w:vAlign w:val="bottom"/>
          </w:tcPr>
          <w:p>
            <w:pPr>
              <w:spacing w:after="0"/>
              <w:rPr>
                <w:sz w:val="17"/>
                <w:szCs w:val="17"/>
                <w:color w:val="auto"/>
              </w:rPr>
            </w:pPr>
          </w:p>
        </w:tc>
        <w:tc>
          <w:tcPr>
            <w:tcW w:w="8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18.3%</w:t>
            </w:r>
          </w:p>
        </w:tc>
        <w:tc>
          <w:tcPr>
            <w:tcW w:w="20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24.0%</w:t>
            </w:r>
          </w:p>
        </w:tc>
      </w:tr>
      <w:tr>
        <w:trPr>
          <w:trHeight w:val="20"/>
        </w:trPr>
        <w:tc>
          <w:tcPr>
            <w:tcW w:w="7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71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Income from operations</w:t>
            </w:r>
          </w:p>
        </w:tc>
        <w:tc>
          <w:tcPr>
            <w:tcW w:w="12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5.7%</w:t>
            </w:r>
          </w:p>
        </w:tc>
        <w:tc>
          <w:tcPr>
            <w:tcW w:w="20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4.5%</w:t>
            </w:r>
          </w:p>
        </w:tc>
      </w:tr>
      <w:tr>
        <w:trPr>
          <w:trHeight w:val="203"/>
        </w:trPr>
        <w:tc>
          <w:tcPr>
            <w:tcW w:w="83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Interest income, net</w:t>
            </w: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0.7%</w:t>
            </w:r>
          </w:p>
        </w:tc>
        <w:tc>
          <w:tcPr>
            <w:tcW w:w="2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w:t>
            </w:r>
          </w:p>
        </w:tc>
      </w:tr>
      <w:tr>
        <w:trPr>
          <w:trHeight w:val="203"/>
        </w:trPr>
        <w:tc>
          <w:tcPr>
            <w:tcW w:w="71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income</w:t>
            </w:r>
          </w:p>
        </w:tc>
        <w:tc>
          <w:tcPr>
            <w:tcW w:w="12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20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0.1%</w:t>
            </w:r>
          </w:p>
        </w:tc>
      </w:tr>
      <w:tr>
        <w:trPr>
          <w:trHeight w:val="20"/>
        </w:trPr>
        <w:tc>
          <w:tcPr>
            <w:tcW w:w="71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7120" w:type="dxa"/>
            <w:vAlign w:val="bottom"/>
          </w:tcPr>
          <w:p>
            <w:pPr>
              <w:ind w:left="200"/>
              <w:spacing w:after="0" w:line="196" w:lineRule="exact"/>
              <w:rPr>
                <w:sz w:val="20"/>
                <w:szCs w:val="20"/>
                <w:color w:val="auto"/>
              </w:rPr>
            </w:pPr>
            <w:r>
              <w:rPr>
                <w:rFonts w:ascii="Arial" w:cs="Arial" w:eastAsia="Arial" w:hAnsi="Arial"/>
                <w:sz w:val="18"/>
                <w:szCs w:val="18"/>
                <w:color w:val="auto"/>
              </w:rPr>
              <w:t>Income before income taxes</w:t>
            </w:r>
          </w:p>
        </w:tc>
        <w:tc>
          <w:tcPr>
            <w:tcW w:w="1260" w:type="dxa"/>
            <w:vAlign w:val="bottom"/>
          </w:tcPr>
          <w:p>
            <w:pPr>
              <w:spacing w:after="0"/>
              <w:rPr>
                <w:sz w:val="17"/>
                <w:szCs w:val="17"/>
                <w:color w:val="auto"/>
              </w:rPr>
            </w:pPr>
          </w:p>
        </w:tc>
        <w:tc>
          <w:tcPr>
            <w:tcW w:w="8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6.4%</w:t>
            </w:r>
          </w:p>
        </w:tc>
        <w:tc>
          <w:tcPr>
            <w:tcW w:w="20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5.8%</w:t>
            </w:r>
          </w:p>
        </w:tc>
      </w:tr>
      <w:tr>
        <w:trPr>
          <w:trHeight w:val="20"/>
        </w:trPr>
        <w:tc>
          <w:tcPr>
            <w:tcW w:w="7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712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Provision for income taxes</w:t>
            </w:r>
          </w:p>
        </w:tc>
        <w:tc>
          <w:tcPr>
            <w:tcW w:w="12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20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(1.9)%</w:t>
            </w:r>
          </w:p>
        </w:tc>
      </w:tr>
      <w:tr>
        <w:trPr>
          <w:trHeight w:val="20"/>
        </w:trPr>
        <w:tc>
          <w:tcPr>
            <w:tcW w:w="71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7120" w:type="dxa"/>
            <w:vAlign w:val="bottom"/>
          </w:tcPr>
          <w:p>
            <w:pPr>
              <w:spacing w:after="0" w:line="182" w:lineRule="exact"/>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17"/>
                <w:szCs w:val="17"/>
                <w:color w:val="auto"/>
              </w:rPr>
            </w:pPr>
          </w:p>
        </w:tc>
        <w:tc>
          <w:tcPr>
            <w:tcW w:w="84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5.0%</w:t>
            </w:r>
          </w:p>
        </w:tc>
        <w:tc>
          <w:tcPr>
            <w:tcW w:w="20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3.9%</w:t>
            </w:r>
          </w:p>
        </w:tc>
      </w:tr>
      <w:tr>
        <w:trPr>
          <w:trHeight w:val="20"/>
        </w:trPr>
        <w:tc>
          <w:tcPr>
            <w:tcW w:w="7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-967740</wp:posOffset>
            </wp:positionV>
            <wp:extent cx="1543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-967740</wp:posOffset>
            </wp:positionV>
            <wp:extent cx="1543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-436245</wp:posOffset>
            </wp:positionV>
            <wp:extent cx="1543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-436245</wp:posOffset>
            </wp:positionV>
            <wp:extent cx="1543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-161925</wp:posOffset>
            </wp:positionV>
            <wp:extent cx="1543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-161925</wp:posOffset>
            </wp:positionV>
            <wp:extent cx="1543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2025 and 2024</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revenue was primarily driven by an increase in the number of transactions processed, which was driven by the implementation of new billers and increased transactions from our existing billers.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1" w:name="page22"/>
    <w:bookmarkEnd w:id="21"/>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 interchange fees and processor costs, as well as other direct costs associated with making our platform available to our billers.</w:t>
      </w:r>
    </w:p>
    <w:p>
      <w:pPr>
        <w:spacing w:after="0" w:line="46"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Gross margin decreased due to changes in customer mix resulting primarily from the addition of large, high-volume enterprise billers with lower margins in our biller mix. This decline was partially offset by the realization of economies of scale.</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jc w:val="both"/>
        <w:ind w:firstLine="499"/>
        <w:spacing w:after="0" w:line="253" w:lineRule="auto"/>
        <w:rPr>
          <w:sz w:val="20"/>
          <w:szCs w:val="20"/>
          <w:color w:val="auto"/>
        </w:rPr>
      </w:pPr>
      <w:r>
        <w:rPr>
          <w:rFonts w:ascii="Arial" w:cs="Arial" w:eastAsia="Arial" w:hAnsi="Arial"/>
          <w:sz w:val="18"/>
          <w:szCs w:val="18"/>
          <w:color w:val="auto"/>
        </w:rPr>
        <w:t>The increase in research and development expenses was primarily due to increases in cloud computing services expenses due to higher utilization of cloud-based infrastructure and increased data processing demands, amortization of capitalized internal-use software development costs and employee-related costs, including benefits due to increased headcount and merit increases in annual compensation.</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sales and marketing expenses was primarily due to an increase in reseller commissions, including amortization of warrants.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marginal increase in general and administrative expenses was primarily due to increases in professional fees and legal fees, which were offset by lower cost of insurance premiums of certain business policies.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income, net</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interest income, net was a result of higher cash balances held with banks, offset by lower interest rate.</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02"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The change in provision for income taxes as well as the decrease in the Company's effective tax rate, which was 22.4% for the three months ended March 31, 2025 as compared to 32.8% for the same period in the prior year, was primarily the result of permanent differences for disallowed stock-based compensation pursuant to IRC Section 162(m), state taxes and discrete benefits for excess tax benefits on stock-based compensation. In 2024, it was primarily the result of permanent differences for disallowed compensation pursuant to IRC Section 162(m), state taxes and the impact of the full valuation allowance that has since been released.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As of March 31, 2025, we had $245.8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and subscriptions. Our principal uses of cash are funding operations and capital expenditures.</w:t>
      </w:r>
    </w:p>
    <w:p>
      <w:pPr>
        <w:spacing w:after="0" w:line="66"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or execute our growth strategy. Any future indebtedness we incur may result in terms that could be unfavorable to equity investors.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our condensed consolidated cash flows.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Operating activities</w:t>
      </w:r>
    </w:p>
    <w:p>
      <w:pPr>
        <w:ind w:left="100"/>
        <w:spacing w:after="0" w:line="234" w:lineRule="auto"/>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Effects of foreign exchange on cash</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cash equivalents and restricted cash</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Three Months Ended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w w:val="99"/>
              </w:rPr>
              <w:t>2024</w:t>
            </w:r>
          </w:p>
        </w:tc>
        <w:tc>
          <w:tcPr>
            <w:tcW w:w="60" w:type="dxa"/>
            <w:vAlign w:val="bottom"/>
          </w:tcPr>
          <w:p>
            <w:pPr>
              <w:spacing w:after="0"/>
              <w:rPr>
                <w:sz w:val="17"/>
                <w:szCs w:val="17"/>
                <w:color w:val="auto"/>
              </w:rPr>
            </w:pPr>
          </w:p>
        </w:tc>
      </w:tr>
      <w:tr>
        <w:trPr>
          <w:trHeight w:val="240"/>
        </w:trPr>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42"/>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50,441</w:t>
            </w:r>
          </w:p>
        </w:tc>
        <w:tc>
          <w:tcPr>
            <w:tcW w:w="10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10,954</w:t>
            </w:r>
          </w:p>
        </w:tc>
        <w:tc>
          <w:tcPr>
            <w:tcW w:w="60" w:type="dxa"/>
            <w:vAlign w:val="bottom"/>
          </w:tcPr>
          <w:p>
            <w:pPr>
              <w:spacing w:after="0"/>
              <w:rPr>
                <w:sz w:val="24"/>
                <w:szCs w:val="24"/>
                <w:color w:val="auto"/>
              </w:rPr>
            </w:pPr>
          </w:p>
        </w:tc>
      </w:tr>
      <w:tr>
        <w:trPr>
          <w:trHeight w:val="203"/>
        </w:trPr>
        <w:tc>
          <w:tcPr>
            <w:tcW w:w="36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(8,287)</w:t>
            </w:r>
          </w:p>
        </w:tc>
        <w:tc>
          <w:tcPr>
            <w:tcW w:w="5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(9,513)</w:t>
            </w:r>
          </w:p>
        </w:tc>
      </w:tr>
      <w:tr>
        <w:trPr>
          <w:trHeight w:val="203"/>
        </w:trPr>
        <w:tc>
          <w:tcPr>
            <w:tcW w:w="36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(1,892)</w:t>
            </w:r>
          </w:p>
        </w:tc>
        <w:tc>
          <w:tcPr>
            <w:tcW w:w="5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w:t>
            </w:r>
          </w:p>
        </w:tc>
      </w:tr>
      <w:tr>
        <w:trPr>
          <w:trHeight w:val="221"/>
        </w:trPr>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196"/>
        </w:trPr>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40,237</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w:t>
            </w:r>
          </w:p>
        </w:tc>
        <w:tc>
          <w:tcPr>
            <w:tcW w:w="60" w:type="dxa"/>
            <w:vAlign w:val="bottom"/>
          </w:tcPr>
          <w:p>
            <w:pPr>
              <w:spacing w:after="0"/>
              <w:rPr>
                <w:sz w:val="17"/>
                <w:szCs w:val="17"/>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00" w:lineRule="exact"/>
        <w:rPr>
          <w:sz w:val="20"/>
          <w:szCs w:val="20"/>
          <w:color w:val="auto"/>
        </w:rPr>
      </w:pPr>
    </w:p>
    <w:p>
      <w:pPr>
        <w:sectPr>
          <w:pgSz w:w="11900" w:h="16838" w:orient="portrait"/>
          <w:cols w:equalWidth="0" w:num="2">
            <w:col w:w="7140" w:space="720"/>
            <w:col w:w="3380"/>
          </w:cols>
          <w:pgMar w:left="320" w:top="1189" w:right="339" w:bottom="1440" w:gutter="0" w:footer="0" w:header="0"/>
        </w:sectPr>
      </w:pPr>
    </w:p>
    <w:p>
      <w:pPr>
        <w:jc w:val="both"/>
        <w:ind w:firstLine="494"/>
        <w:spacing w:after="0"/>
        <w:rPr>
          <w:sz w:val="20"/>
          <w:szCs w:val="20"/>
          <w:color w:val="auto"/>
        </w:rPr>
      </w:pPr>
      <w:r>
        <w:rPr>
          <w:rFonts w:ascii="Arial" w:cs="Arial" w:eastAsia="Arial" w:hAnsi="Arial"/>
          <w:sz w:val="18"/>
          <w:szCs w:val="18"/>
          <w:color w:val="auto"/>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for the three months ended March 31, 2025 was $50.4 million. Net income was $13.8 million, adjusted for non-cash charges of $15.8 million, consisting primarily of depreciation and amortization, stock-based compensation, amortization of capitalized contract acquisition costs and warrant cost, non-cash lease expense and provision for expected credit losses and credit adjustments, which contributed positively to cash provided from operating activities. This was additionally supported by net cash inflows of $20.9 million provided by changes in our operating assets and liabilities.</w:t>
      </w:r>
    </w:p>
    <w:p>
      <w:pPr>
        <w:spacing w:after="0" w:line="7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Net cash provided by operating activities for the three months ended March 31, 2024 was $11.0 million. Net income was $7.2 million, adjusted for non-cash charges of $ 13.2 million consisting primarily of depreciation and amortization, stock-based compensation, amortization of capitalized contract acquisition costs and warrant cost, non-cash lease expense and provision for expected credit losses and credit adjustments, which contributed positively to cash provided from operating activities. This was offset by net cash outflows of $9.5 million due to changes in our operating assets and liabilities.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Net cash used in investing activities for the three months ended March 31, 2025 consisted of $9.3 million of capitalized internal-use software development costs and $0.1 million of purchases of property and equipment, offset by $1.1 million cash inflow from net change in interest-bearing deposits.</w:t>
      </w:r>
    </w:p>
    <w:p>
      <w:pPr>
        <w:spacing w:after="0" w:line="6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Net cash used in investing activities for the three months ended March 31, 2024 consisted of $ 9.3 million of capitalized internal-use software development costs, $0.1 million of purchases of property and equipment and $0.1 million from net change in interest-bearing deposits.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Net cash used in financing activities for the three months ended March 31, 2025 consisted of $1.9 million of payments of taxes withheld on net settled vesting of restricted stock units, which was offset by $0.1 million of proceeds from the exercise of stock-based awards by employees.</w:t>
      </w:r>
    </w:p>
    <w:p>
      <w:pPr>
        <w:spacing w:after="0" w:line="6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Net cash used in financing activities for the three months ended March 31, 2024 consisted of $0.5 million of settlement of holdback liability relating to a prior acquisition, which was offset by $0.1 million of proceeds from the exercise of stock-based awards by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disclosures of contingencies at the date of the financial statements and the reported amounts of revenues and expenses during the reporting period. Our significant accounting policies are described in Note 2, “Basis of Presentation and Summary of Significant Accounting Policies” to our consolidated financial statements included in our 2024 Form 10-K. Except for those disclosed in Note 2 "Summary of Significant Accounting Policies" of this Quarterly Report on Form 10-Q, there have been no material changes in our critical accounting policies and estimates since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See Note 2 “Basis of Presentation and Summary of Significant Accounting Policies” in the unaudited condensed consolidated financial statements included elsewhere in this Quarterly Report for a full description of recent accounting pronouncements, including the respective dates of adoption or expected adoption and effects on our condensed consolidated financial statements contained in Item 1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There have been no material changes in our exposures to market risk since December 31, 2024. For details on the Company’s interest rate, foreign currency exchange, and inflation risks, see Part I, Item 7A. “Quantitative and Qualitative Information About Market Risk” in our 2024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71"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March 31, 2025, the end of the period covered by this Quarterly Report on Form 10-Q. Based on such evaluation, our Chief Executive Officer and Chief Financial Officer have concluded that, as of such date,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March 31, 2025 that have materially affected, or are reasonably likely to materially affect, our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From time to time, we may be involved in claims, regulatory examinations or investigations and legal proceedings arising in the ordinary course of our business. The outcome of any such claims or proceedings, regardless of the merits, and the Company’s ultimate liability, if any, is inherently uncertain. Furthermore, we may become subject to stockholder inspection demands under Delaware law and derivative or other similar litigation. We are not currently party to any material legal proceedings, and, except as referred to in Note 8 to the condensed consolidated financial statements, we are not aware of any pending or threatened legal proceeding against us that we believe could have a material adverse effect on our business, operating results, cash flows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changes in the risk factors previously disclosed in Item 1A. of our 2024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right="260" w:firstLine="494"/>
        <w:spacing w:after="0" w:line="232" w:lineRule="exact"/>
        <w:rPr>
          <w:sz w:val="20"/>
          <w:szCs w:val="20"/>
          <w:color w:val="auto"/>
        </w:rPr>
      </w:pPr>
      <w:r>
        <w:rPr>
          <w:rFonts w:ascii="Arial" w:cs="Arial" w:eastAsia="Arial" w:hAnsi="Arial"/>
          <w:sz w:val="18"/>
          <w:szCs w:val="18"/>
          <w:color w:val="auto"/>
        </w:rPr>
        <w:t>During the quarter ended March 31, 2025, none of the Company’s directors or officers adopted or terminated a “Rule 10b5-1 trading arrangement” or “non-Rule 10b5-1 trading arrangement,” as such terms are defined in Item 408(a) of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5" w:name="page26"/>
    <w:bookmarkEnd w:id="25"/>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Exhibit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gridSpan w:val="16"/>
            <w:vMerge w:val="restart"/>
          </w:tcPr>
          <w:p>
            <w:pPr>
              <w:ind w:left="280"/>
              <w:spacing w:after="0"/>
              <w:rPr>
                <w:sz w:val="20"/>
                <w:szCs w:val="20"/>
                <w:color w:val="auto"/>
              </w:rPr>
            </w:pPr>
            <w:r>
              <w:rPr>
                <w:rFonts w:ascii="Arial" w:cs="Arial" w:eastAsia="Arial" w:hAnsi="Arial"/>
                <w:sz w:val="17"/>
                <w:szCs w:val="17"/>
                <w:b w:val="1"/>
                <w:bCs w:val="1"/>
                <w:color w:val="auto"/>
              </w:rPr>
              <w:t>Description</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5"/>
          </w:tcPr>
          <w:p>
            <w:pPr>
              <w:ind w:left="200"/>
              <w:spacing w:after="0"/>
              <w:rPr>
                <w:sz w:val="20"/>
                <w:szCs w:val="20"/>
                <w:color w:val="auto"/>
              </w:rPr>
            </w:pPr>
            <w:r>
              <w:rPr>
                <w:rFonts w:ascii="Arial" w:cs="Arial" w:eastAsia="Arial" w:hAnsi="Arial"/>
                <w:sz w:val="17"/>
                <w:szCs w:val="17"/>
                <w:b w:val="1"/>
                <w:bCs w:val="1"/>
                <w:color w:val="auto"/>
              </w:rPr>
              <w:t>Incorporated by Reference</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gridSpan w:val="16"/>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w w:val="98"/>
              </w:rPr>
              <w:t>Form</w:t>
            </w:r>
          </w:p>
        </w:tc>
        <w:tc>
          <w:tcPr>
            <w:tcW w:w="10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File No.</w:t>
            </w:r>
          </w:p>
        </w:tc>
        <w:tc>
          <w:tcPr>
            <w:tcW w:w="12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Exhibit</w:t>
            </w:r>
          </w:p>
        </w:tc>
        <w:tc>
          <w:tcPr>
            <w:tcW w:w="10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Filing Date</w:t>
            </w:r>
          </w:p>
        </w:tc>
        <w:tc>
          <w:tcPr>
            <w:tcW w:w="110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Filed/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Number</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Furnished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Herewith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line="155" w:lineRule="exact"/>
              <w:rPr>
                <w:sz w:val="20"/>
                <w:szCs w:val="20"/>
                <w:color w:val="auto"/>
              </w:rPr>
            </w:pPr>
            <w:r>
              <w:rPr>
                <w:rFonts w:ascii="Arial" w:cs="Arial" w:eastAsia="Arial" w:hAnsi="Arial"/>
                <w:sz w:val="17"/>
                <w:szCs w:val="17"/>
                <w:color w:val="auto"/>
              </w:rPr>
              <w:t>3.1.1</w:t>
            </w:r>
          </w:p>
        </w:tc>
        <w:tc>
          <w:tcPr>
            <w:tcW w:w="140" w:type="dxa"/>
            <w:vAlign w:val="bottom"/>
          </w:tcPr>
          <w:p>
            <w:pPr>
              <w:spacing w:after="0"/>
              <w:rPr>
                <w:sz w:val="13"/>
                <w:szCs w:val="13"/>
                <w:color w:val="auto"/>
              </w:rPr>
            </w:pPr>
          </w:p>
        </w:tc>
        <w:tc>
          <w:tcPr>
            <w:tcW w:w="4720" w:type="dxa"/>
            <w:vAlign w:val="bottom"/>
            <w:gridSpan w:val="21"/>
          </w:tcPr>
          <w:p>
            <w:pPr>
              <w:spacing w:after="0" w:line="155" w:lineRule="exact"/>
              <w:rPr>
                <w:rFonts w:ascii="Arial" w:cs="Arial" w:eastAsia="Arial" w:hAnsi="Arial"/>
                <w:sz w:val="17"/>
                <w:szCs w:val="17"/>
                <w:color w:val="0000FF"/>
              </w:rPr>
            </w:pPr>
            <w:hyperlink r:id="rId202">
              <w:r>
                <w:rPr>
                  <w:rFonts w:ascii="Arial" w:cs="Arial" w:eastAsia="Arial" w:hAnsi="Arial"/>
                  <w:sz w:val="17"/>
                  <w:szCs w:val="17"/>
                  <w:color w:val="0000FF"/>
                </w:rPr>
                <w:t>Amended and Restated Certificate of Incorporation of</w:t>
              </w:r>
            </w:hyperlink>
          </w:p>
        </w:tc>
        <w:tc>
          <w:tcPr>
            <w:tcW w:w="100" w:type="dxa"/>
            <w:vAlign w:val="bottom"/>
          </w:tcPr>
          <w:p>
            <w:pPr>
              <w:spacing w:after="0"/>
              <w:rPr>
                <w:sz w:val="13"/>
                <w:szCs w:val="13"/>
                <w:color w:val="auto"/>
              </w:rPr>
            </w:pPr>
          </w:p>
        </w:tc>
        <w:tc>
          <w:tcPr>
            <w:tcW w:w="560" w:type="dxa"/>
            <w:vAlign w:val="bottom"/>
          </w:tcPr>
          <w:p>
            <w:pPr>
              <w:jc w:val="center"/>
              <w:spacing w:after="0" w:line="155" w:lineRule="exact"/>
              <w:rPr>
                <w:sz w:val="20"/>
                <w:szCs w:val="20"/>
                <w:color w:val="auto"/>
              </w:rPr>
            </w:pPr>
            <w:r>
              <w:rPr>
                <w:rFonts w:ascii="Arial" w:cs="Arial" w:eastAsia="Arial" w:hAnsi="Arial"/>
                <w:sz w:val="17"/>
                <w:szCs w:val="17"/>
                <w:color w:val="auto"/>
                <w:w w:val="98"/>
              </w:rPr>
              <w:t>8-K</w:t>
            </w:r>
          </w:p>
        </w:tc>
        <w:tc>
          <w:tcPr>
            <w:tcW w:w="10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7"/>
                <w:szCs w:val="17"/>
                <w:color w:val="auto"/>
              </w:rPr>
              <w:t>001-40429</w:t>
            </w:r>
          </w:p>
        </w:tc>
        <w:tc>
          <w:tcPr>
            <w:tcW w:w="12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7"/>
                <w:szCs w:val="17"/>
                <w:color w:val="auto"/>
              </w:rPr>
              <w:t>May 28, 2021</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3.1.2</w:t>
            </w:r>
          </w:p>
        </w:tc>
        <w:tc>
          <w:tcPr>
            <w:tcW w:w="140" w:type="dxa"/>
            <w:vAlign w:val="bottom"/>
          </w:tcPr>
          <w:p>
            <w:pPr>
              <w:spacing w:after="0"/>
              <w:rPr>
                <w:sz w:val="14"/>
                <w:szCs w:val="14"/>
                <w:color w:val="auto"/>
              </w:rPr>
            </w:pPr>
          </w:p>
        </w:tc>
        <w:tc>
          <w:tcPr>
            <w:tcW w:w="1900" w:type="dxa"/>
            <w:vAlign w:val="bottom"/>
            <w:tcBorders>
              <w:top w:val="single" w:sz="8" w:color="0000FF"/>
              <w:bottom w:val="single" w:sz="8" w:color="0000FF"/>
            </w:tcBorders>
            <w:gridSpan w:val="6"/>
          </w:tcPr>
          <w:p>
            <w:pPr>
              <w:spacing w:after="0" w:line="169" w:lineRule="exact"/>
              <w:rPr>
                <w:rFonts w:ascii="Arial" w:cs="Arial" w:eastAsia="Arial" w:hAnsi="Arial"/>
                <w:sz w:val="17"/>
                <w:szCs w:val="17"/>
                <w:color w:val="0000FF"/>
                <w:w w:val="97"/>
              </w:rPr>
            </w:pPr>
            <w:hyperlink r:id="rId202">
              <w:r>
                <w:rPr>
                  <w:rFonts w:ascii="Arial" w:cs="Arial" w:eastAsia="Arial" w:hAnsi="Arial"/>
                  <w:sz w:val="17"/>
                  <w:szCs w:val="17"/>
                  <w:color w:val="0000FF"/>
                  <w:w w:val="97"/>
                </w:rPr>
                <w:t>Paymentus Holdings, Inc.</w:t>
              </w:r>
            </w:hyperlink>
          </w:p>
        </w:tc>
        <w:tc>
          <w:tcPr>
            <w:tcW w:w="2140" w:type="dxa"/>
            <w:vAlign w:val="bottom"/>
            <w:tcBorders>
              <w:top w:val="single" w:sz="8" w:color="0000FF"/>
            </w:tcBorders>
            <w:gridSpan w:val="6"/>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10-Q</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auto"/>
              </w:rPr>
              <w:t>001-40429</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7"/>
                <w:szCs w:val="17"/>
                <w:color w:val="auto"/>
              </w:rPr>
              <w:t>August 7, 2023</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spacing w:after="0" w:line="169" w:lineRule="exact"/>
              <w:rPr>
                <w:rFonts w:ascii="Arial" w:cs="Arial" w:eastAsia="Arial" w:hAnsi="Arial"/>
                <w:sz w:val="17"/>
                <w:szCs w:val="17"/>
                <w:color w:val="0000FF"/>
                <w:w w:val="99"/>
              </w:rPr>
            </w:pPr>
            <w:hyperlink r:id="rId203">
              <w:r>
                <w:rPr>
                  <w:rFonts w:ascii="Arial" w:cs="Arial" w:eastAsia="Arial" w:hAnsi="Arial"/>
                  <w:sz w:val="17"/>
                  <w:szCs w:val="17"/>
                  <w:color w:val="0000FF"/>
                  <w:w w:val="99"/>
                </w:rPr>
                <w:t>Amendment to Amended</w:t>
              </w:r>
            </w:hyperlink>
          </w:p>
        </w:tc>
        <w:tc>
          <w:tcPr>
            <w:tcW w:w="2820" w:type="dxa"/>
            <w:vAlign w:val="bottom"/>
            <w:gridSpan w:val="15"/>
          </w:tcPr>
          <w:p>
            <w:pPr>
              <w:spacing w:after="0" w:line="169" w:lineRule="exact"/>
              <w:rPr>
                <w:rFonts w:ascii="Arial" w:cs="Arial" w:eastAsia="Arial" w:hAnsi="Arial"/>
                <w:sz w:val="17"/>
                <w:szCs w:val="17"/>
                <w:color w:val="0000FF"/>
              </w:rPr>
            </w:pPr>
            <w:hyperlink r:id="rId203">
              <w:r>
                <w:rPr>
                  <w:rFonts w:ascii="Arial" w:cs="Arial" w:eastAsia="Arial" w:hAnsi="Arial"/>
                  <w:sz w:val="17"/>
                  <w:szCs w:val="17"/>
                  <w:color w:val="0000FF"/>
                </w:rPr>
                <w:t>and Restated Certificate of</w:t>
              </w:r>
            </w:hyperlink>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4"/>
                <w:szCs w:val="14"/>
                <w:color w:val="auto"/>
              </w:rPr>
            </w:pPr>
          </w:p>
        </w:tc>
        <w:tc>
          <w:tcPr>
            <w:tcW w:w="3980" w:type="dxa"/>
            <w:vAlign w:val="bottom"/>
            <w:gridSpan w:val="11"/>
          </w:tcPr>
          <w:p>
            <w:pPr>
              <w:spacing w:after="0" w:line="169" w:lineRule="exact"/>
              <w:rPr>
                <w:rFonts w:ascii="Arial" w:cs="Arial" w:eastAsia="Arial" w:hAnsi="Arial"/>
                <w:sz w:val="17"/>
                <w:szCs w:val="17"/>
                <w:color w:val="0000FF"/>
              </w:rPr>
            </w:pPr>
            <w:hyperlink r:id="rId203">
              <w:r>
                <w:rPr>
                  <w:rFonts w:ascii="Arial" w:cs="Arial" w:eastAsia="Arial" w:hAnsi="Arial"/>
                  <w:sz w:val="17"/>
                  <w:szCs w:val="17"/>
                  <w:color w:val="0000FF"/>
                </w:rPr>
                <w:t>Incorporation of Paymentus Holdings, Inc.</w:t>
              </w:r>
            </w:hyperlink>
          </w:p>
        </w:tc>
        <w:tc>
          <w:tcPr>
            <w:tcW w:w="26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w w:val="98"/>
              </w:rPr>
              <w:t>8-K</w:t>
            </w:r>
          </w:p>
        </w:tc>
        <w:tc>
          <w:tcPr>
            <w:tcW w:w="1100" w:type="dxa"/>
            <w:vAlign w:val="bottom"/>
            <w:gridSpan w:val="2"/>
            <w:vMerge w:val="restart"/>
          </w:tcPr>
          <w:p>
            <w:pPr>
              <w:jc w:val="center"/>
              <w:spacing w:after="0"/>
              <w:rPr>
                <w:sz w:val="20"/>
                <w:szCs w:val="20"/>
                <w:color w:val="auto"/>
              </w:rPr>
            </w:pPr>
            <w:r>
              <w:rPr>
                <w:rFonts w:ascii="Arial" w:cs="Arial" w:eastAsia="Arial" w:hAnsi="Arial"/>
                <w:sz w:val="17"/>
                <w:szCs w:val="17"/>
                <w:color w:val="auto"/>
              </w:rPr>
              <w:t>001-40429</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14"/>
                <w:szCs w:val="14"/>
                <w:color w:val="auto"/>
              </w:rPr>
            </w:pPr>
          </w:p>
        </w:tc>
        <w:tc>
          <w:tcPr>
            <w:tcW w:w="1380" w:type="dxa"/>
            <w:vAlign w:val="bottom"/>
            <w:vMerge w:val="restart"/>
          </w:tcPr>
          <w:p>
            <w:pPr>
              <w:jc w:val="center"/>
              <w:ind w:right="15"/>
              <w:spacing w:after="0"/>
              <w:rPr>
                <w:sz w:val="20"/>
                <w:szCs w:val="20"/>
                <w:color w:val="auto"/>
              </w:rPr>
            </w:pPr>
            <w:r>
              <w:rPr>
                <w:rFonts w:ascii="Arial" w:cs="Arial" w:eastAsia="Arial" w:hAnsi="Arial"/>
                <w:sz w:val="17"/>
                <w:szCs w:val="17"/>
                <w:color w:val="auto"/>
              </w:rPr>
              <w:t>November 14,</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720" w:type="dxa"/>
            <w:vAlign w:val="bottom"/>
            <w:gridSpan w:val="21"/>
          </w:tcPr>
          <w:p>
            <w:pPr>
              <w:spacing w:after="0" w:line="169" w:lineRule="exact"/>
              <w:rPr>
                <w:rFonts w:ascii="Arial" w:cs="Arial" w:eastAsia="Arial" w:hAnsi="Arial"/>
                <w:sz w:val="17"/>
                <w:szCs w:val="17"/>
                <w:color w:val="0000FF"/>
              </w:rPr>
            </w:pPr>
            <w:hyperlink r:id="rId204">
              <w:r>
                <w:rPr>
                  <w:rFonts w:ascii="Arial" w:cs="Arial" w:eastAsia="Arial" w:hAnsi="Arial"/>
                  <w:sz w:val="17"/>
                  <w:szCs w:val="17"/>
                  <w:color w:val="0000FF"/>
                </w:rPr>
                <w:t>Amended and Restated Bylaws of Paymentus Holdings, Inc.</w:t>
              </w:r>
            </w:hyperlink>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7"/>
                <w:szCs w:val="17"/>
                <w:color w:val="auto"/>
              </w:rPr>
              <w:t>2022</w:t>
            </w: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10.1+</w:t>
            </w:r>
          </w:p>
        </w:tc>
        <w:tc>
          <w:tcPr>
            <w:tcW w:w="140" w:type="dxa"/>
            <w:vAlign w:val="bottom"/>
          </w:tcPr>
          <w:p>
            <w:pPr>
              <w:spacing w:after="0"/>
              <w:rPr>
                <w:sz w:val="18"/>
                <w:szCs w:val="18"/>
                <w:color w:val="auto"/>
              </w:rPr>
            </w:pPr>
          </w:p>
        </w:tc>
        <w:tc>
          <w:tcPr>
            <w:tcW w:w="4720" w:type="dxa"/>
            <w:vAlign w:val="bottom"/>
            <w:gridSpan w:val="21"/>
            <w:vMerge w:val="restart"/>
          </w:tcPr>
          <w:p>
            <w:pPr>
              <w:spacing w:after="0"/>
              <w:rPr>
                <w:sz w:val="20"/>
                <w:szCs w:val="20"/>
                <w:color w:val="auto"/>
              </w:rPr>
            </w:pPr>
            <w:r>
              <w:rPr>
                <w:rFonts w:ascii="Arial" w:cs="Arial" w:eastAsia="Arial" w:hAnsi="Arial"/>
                <w:sz w:val="17"/>
                <w:szCs w:val="17"/>
                <w:color w:val="0000FF"/>
              </w:rPr>
              <w:t>Form of Restricted Stock Unit Award Agreement (for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48"/>
        </w:trPr>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720" w:type="dxa"/>
            <w:vAlign w:val="bottom"/>
            <w:gridSpan w:val="21"/>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20" w:type="dxa"/>
            <w:vAlign w:val="bottom"/>
            <w:gridSpan w:val="21"/>
          </w:tcPr>
          <w:p>
            <w:pPr>
              <w:spacing w:after="0" w:line="169" w:lineRule="exact"/>
              <w:rPr>
                <w:sz w:val="20"/>
                <w:szCs w:val="20"/>
                <w:color w:val="auto"/>
              </w:rPr>
            </w:pPr>
            <w:r>
              <w:rPr>
                <w:rFonts w:ascii="Arial" w:cs="Arial" w:eastAsia="Arial" w:hAnsi="Arial"/>
                <w:sz w:val="17"/>
                <w:szCs w:val="17"/>
                <w:color w:val="0000FF"/>
              </w:rPr>
              <w:t>Independent Contractors) under the 2021 Equity Incentive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10.2+</w:t>
            </w:r>
          </w:p>
        </w:tc>
        <w:tc>
          <w:tcPr>
            <w:tcW w:w="140" w:type="dxa"/>
            <w:vAlign w:val="bottom"/>
          </w:tcPr>
          <w:p>
            <w:pPr>
              <w:spacing w:after="0"/>
              <w:rPr>
                <w:sz w:val="14"/>
                <w:szCs w:val="14"/>
                <w:color w:val="auto"/>
              </w:rPr>
            </w:pPr>
          </w:p>
        </w:tc>
        <w:tc>
          <w:tcPr>
            <w:tcW w:w="3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7"/>
                <w:szCs w:val="17"/>
                <w:color w:val="0000FF"/>
                <w:w w:val="82"/>
              </w:rPr>
              <w:t>Plan</w:t>
            </w:r>
          </w:p>
        </w:tc>
        <w:tc>
          <w:tcPr>
            <w:tcW w:w="20" w:type="dxa"/>
            <w:vAlign w:val="bottom"/>
            <w:tcBorders>
              <w:top w:val="single" w:sz="8" w:color="0000FF"/>
              <w:bottom w:val="single" w:sz="8" w:color="0000EE"/>
            </w:tcBorders>
          </w:tcPr>
          <w:p>
            <w:pPr>
              <w:spacing w:after="0"/>
              <w:rPr>
                <w:sz w:val="14"/>
                <w:szCs w:val="14"/>
                <w:color w:val="auto"/>
              </w:rPr>
            </w:pPr>
          </w:p>
        </w:tc>
        <w:tc>
          <w:tcPr>
            <w:tcW w:w="4080" w:type="dxa"/>
            <w:vAlign w:val="bottom"/>
            <w:tcBorders>
              <w:top w:val="single" w:sz="8" w:color="0000FF"/>
            </w:tcBorders>
            <w:gridSpan w:val="13"/>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spacing w:after="0" w:line="169" w:lineRule="exact"/>
              <w:rPr>
                <w:sz w:val="20"/>
                <w:szCs w:val="20"/>
                <w:color w:val="auto"/>
              </w:rPr>
            </w:pPr>
            <w:r>
              <w:rPr>
                <w:rFonts w:ascii="Arial" w:cs="Arial" w:eastAsia="Arial" w:hAnsi="Arial"/>
                <w:sz w:val="17"/>
                <w:szCs w:val="17"/>
                <w:color w:val="0000FF"/>
                <w:w w:val="75"/>
              </w:rPr>
              <w:t>Form</w:t>
            </w:r>
          </w:p>
        </w:tc>
        <w:tc>
          <w:tcPr>
            <w:tcW w:w="4400" w:type="dxa"/>
            <w:vAlign w:val="bottom"/>
            <w:gridSpan w:val="19"/>
          </w:tcPr>
          <w:p>
            <w:pPr>
              <w:ind w:left="80"/>
              <w:spacing w:after="0" w:line="169" w:lineRule="exact"/>
              <w:rPr>
                <w:sz w:val="20"/>
                <w:szCs w:val="20"/>
                <w:color w:val="auto"/>
              </w:rPr>
            </w:pPr>
            <w:r>
              <w:rPr>
                <w:rFonts w:ascii="Arial" w:cs="Arial" w:eastAsia="Arial" w:hAnsi="Arial"/>
                <w:sz w:val="17"/>
                <w:szCs w:val="17"/>
                <w:color w:val="0000FF"/>
              </w:rPr>
              <w:t>of Restricted Stock Award Agreement under the 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31.1</w:t>
            </w:r>
          </w:p>
        </w:tc>
        <w:tc>
          <w:tcPr>
            <w:tcW w:w="14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7"/>
                <w:szCs w:val="17"/>
                <w:color w:val="0000FF"/>
                <w:w w:val="96"/>
              </w:rPr>
              <w:t>Equity Incentive Plan</w:t>
            </w:r>
          </w:p>
        </w:tc>
        <w:tc>
          <w:tcPr>
            <w:tcW w:w="20" w:type="dxa"/>
            <w:vAlign w:val="bottom"/>
            <w:tcBorders>
              <w:top w:val="single" w:sz="8" w:color="0000FF"/>
              <w:bottom w:val="single" w:sz="8" w:color="0000EE"/>
            </w:tcBorders>
          </w:tcPr>
          <w:p>
            <w:pPr>
              <w:spacing w:after="0"/>
              <w:rPr>
                <w:sz w:val="14"/>
                <w:szCs w:val="14"/>
                <w:color w:val="auto"/>
              </w:rPr>
            </w:pPr>
          </w:p>
        </w:tc>
        <w:tc>
          <w:tcPr>
            <w:tcW w:w="2960" w:type="dxa"/>
            <w:vAlign w:val="bottom"/>
            <w:tcBorders>
              <w:top w:val="single" w:sz="8" w:color="0000FF"/>
            </w:tcBorders>
            <w:gridSpan w:val="13"/>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720" w:type="dxa"/>
            <w:vAlign w:val="bottom"/>
            <w:gridSpan w:val="21"/>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 Rules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4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7"/>
                <w:szCs w:val="17"/>
                <w:color w:val="0000FF"/>
                <w:w w:val="99"/>
              </w:rPr>
              <w:t>13a-14(a) and 15d-14(a) under the Securities Exchange Act</w:t>
            </w:r>
          </w:p>
        </w:tc>
        <w:tc>
          <w:tcPr>
            <w:tcW w:w="180" w:type="dxa"/>
            <w:vAlign w:val="bottom"/>
            <w:gridSpan w:val="3"/>
          </w:tcPr>
          <w:p>
            <w:pPr>
              <w:spacing w:after="0" w:line="169" w:lineRule="exact"/>
              <w:rPr>
                <w:sz w:val="20"/>
                <w:szCs w:val="20"/>
                <w:color w:val="auto"/>
              </w:rPr>
            </w:pPr>
            <w:r>
              <w:rPr>
                <w:rFonts w:ascii="Arial" w:cs="Arial" w:eastAsia="Arial" w:hAnsi="Arial"/>
                <w:sz w:val="17"/>
                <w:szCs w:val="17"/>
                <w:color w:val="0000FF"/>
              </w:rPr>
              <w:t>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80" w:type="dxa"/>
            <w:vAlign w:val="bottom"/>
            <w:tcBorders>
              <w:top w:val="single" w:sz="8" w:color="0000FF"/>
              <w:bottom w:val="single" w:sz="8" w:color="0000FF"/>
            </w:tcBorders>
            <w:gridSpan w:val="16"/>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w:t>
            </w:r>
          </w:p>
        </w:tc>
        <w:tc>
          <w:tcPr>
            <w:tcW w:w="22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31.2</w:t>
            </w:r>
          </w:p>
        </w:tc>
        <w:tc>
          <w:tcPr>
            <w:tcW w:w="140" w:type="dxa"/>
            <w:vAlign w:val="bottom"/>
          </w:tcPr>
          <w:p>
            <w:pPr>
              <w:spacing w:after="0"/>
              <w:rPr>
                <w:sz w:val="14"/>
                <w:szCs w:val="14"/>
                <w:color w:val="auto"/>
              </w:rPr>
            </w:pPr>
          </w:p>
        </w:tc>
        <w:tc>
          <w:tcPr>
            <w:tcW w:w="4480" w:type="dxa"/>
            <w:vAlign w:val="bottom"/>
            <w:gridSpan w:val="16"/>
          </w:tcPr>
          <w:p>
            <w:pPr>
              <w:spacing w:after="0" w:line="169" w:lineRule="exact"/>
              <w:rPr>
                <w:sz w:val="20"/>
                <w:szCs w:val="20"/>
                <w:color w:val="auto"/>
              </w:rPr>
            </w:pPr>
            <w:r>
              <w:rPr>
                <w:rFonts w:ascii="Arial" w:cs="Arial" w:eastAsia="Arial" w:hAnsi="Arial"/>
                <w:sz w:val="17"/>
                <w:szCs w:val="17"/>
                <w:color w:val="0000FF"/>
              </w:rPr>
              <w:t>Oxley Act of 2002.</w:t>
            </w: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720" w:type="dxa"/>
            <w:vAlign w:val="bottom"/>
            <w:gridSpan w:val="21"/>
          </w:tcPr>
          <w:p>
            <w:pPr>
              <w:spacing w:after="0" w:line="169" w:lineRule="exact"/>
              <w:rPr>
                <w:sz w:val="20"/>
                <w:szCs w:val="20"/>
                <w:color w:val="auto"/>
              </w:rPr>
            </w:pPr>
            <w:r>
              <w:rPr>
                <w:rFonts w:ascii="Arial" w:cs="Arial" w:eastAsia="Arial" w:hAnsi="Arial"/>
                <w:sz w:val="17"/>
                <w:szCs w:val="17"/>
                <w:color w:val="0000FF"/>
              </w:rPr>
              <w:t>Certification of Principal Financial Officer Pursuant to Rules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0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7"/>
                <w:szCs w:val="17"/>
                <w:color w:val="0000FF"/>
                <w:w w:val="99"/>
              </w:rPr>
              <w:t>13a-14(a) and 15d-14(a) under the Securities Exchange Act</w:t>
            </w:r>
          </w:p>
        </w:tc>
        <w:tc>
          <w:tcPr>
            <w:tcW w:w="220" w:type="dxa"/>
            <w:vAlign w:val="bottom"/>
            <w:gridSpan w:val="4"/>
          </w:tcPr>
          <w:p>
            <w:pPr>
              <w:ind w:left="40"/>
              <w:spacing w:after="0" w:line="169" w:lineRule="exact"/>
              <w:rPr>
                <w:sz w:val="20"/>
                <w:szCs w:val="20"/>
                <w:color w:val="auto"/>
              </w:rPr>
            </w:pPr>
            <w:r>
              <w:rPr>
                <w:rFonts w:ascii="Arial" w:cs="Arial" w:eastAsia="Arial" w:hAnsi="Arial"/>
                <w:sz w:val="17"/>
                <w:szCs w:val="17"/>
                <w:color w:val="0000FF"/>
              </w:rPr>
              <w:t>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80" w:type="dxa"/>
            <w:vAlign w:val="bottom"/>
            <w:tcBorders>
              <w:top w:val="single" w:sz="8" w:color="0000FF"/>
              <w:bottom w:val="single" w:sz="8" w:color="0000FF"/>
            </w:tcBorders>
            <w:gridSpan w:val="16"/>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w:t>
            </w:r>
          </w:p>
        </w:tc>
        <w:tc>
          <w:tcPr>
            <w:tcW w:w="22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32.1*</w:t>
            </w:r>
          </w:p>
        </w:tc>
        <w:tc>
          <w:tcPr>
            <w:tcW w:w="140" w:type="dxa"/>
            <w:vAlign w:val="bottom"/>
          </w:tcPr>
          <w:p>
            <w:pPr>
              <w:spacing w:after="0"/>
              <w:rPr>
                <w:sz w:val="14"/>
                <w:szCs w:val="14"/>
                <w:color w:val="auto"/>
              </w:rPr>
            </w:pPr>
          </w:p>
        </w:tc>
        <w:tc>
          <w:tcPr>
            <w:tcW w:w="4480" w:type="dxa"/>
            <w:vAlign w:val="bottom"/>
            <w:gridSpan w:val="16"/>
          </w:tcPr>
          <w:p>
            <w:pPr>
              <w:spacing w:after="0" w:line="169" w:lineRule="exact"/>
              <w:rPr>
                <w:sz w:val="20"/>
                <w:szCs w:val="20"/>
                <w:color w:val="auto"/>
              </w:rPr>
            </w:pPr>
            <w:r>
              <w:rPr>
                <w:rFonts w:ascii="Arial" w:cs="Arial" w:eastAsia="Arial" w:hAnsi="Arial"/>
                <w:sz w:val="17"/>
                <w:szCs w:val="17"/>
                <w:color w:val="0000FF"/>
              </w:rPr>
              <w:t>Oxley Act of 2002.</w:t>
            </w:r>
          </w:p>
        </w:tc>
        <w:tc>
          <w:tcPr>
            <w:tcW w:w="10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0"/>
        </w:trPr>
        <w:tc>
          <w:tcPr>
            <w:tcW w:w="920" w:type="dxa"/>
            <w:vAlign w:val="bottom"/>
            <w:gridSpan w:val="2"/>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720" w:type="dxa"/>
            <w:vAlign w:val="bottom"/>
            <w:gridSpan w:val="21"/>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 18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0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7"/>
                <w:szCs w:val="17"/>
                <w:color w:val="0000FF"/>
                <w:w w:val="98"/>
              </w:rPr>
              <w:t>U.S.C. Section 1350, as Adopted Pursuant to Section 906</w:t>
            </w:r>
          </w:p>
        </w:tc>
        <w:tc>
          <w:tcPr>
            <w:tcW w:w="420" w:type="dxa"/>
            <w:vAlign w:val="bottom"/>
            <w:gridSpan w:val="7"/>
          </w:tcPr>
          <w:p>
            <w:pPr>
              <w:ind w:left="80"/>
              <w:spacing w:after="0" w:line="169" w:lineRule="exact"/>
              <w:rPr>
                <w:sz w:val="20"/>
                <w:szCs w:val="20"/>
                <w:color w:val="auto"/>
              </w:rPr>
            </w:pPr>
            <w:r>
              <w:rPr>
                <w:rFonts w:ascii="Arial" w:cs="Arial" w:eastAsia="Arial" w:hAnsi="Arial"/>
                <w:sz w:val="17"/>
                <w:szCs w:val="17"/>
                <w:color w:val="0000FF"/>
              </w:rPr>
              <w:t>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8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7"/>
                <w:szCs w:val="17"/>
                <w:color w:val="0000FF"/>
              </w:rPr>
              <w:t>the Sarbanes-Oxley Act of 2002.</w:t>
            </w: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189" w:lineRule="exact"/>
              <w:rPr>
                <w:sz w:val="20"/>
                <w:szCs w:val="20"/>
                <w:color w:val="auto"/>
              </w:rPr>
            </w:pPr>
            <w:r>
              <w:rPr>
                <w:rFonts w:ascii="Arial" w:cs="Arial" w:eastAsia="Arial" w:hAnsi="Arial"/>
                <w:sz w:val="17"/>
                <w:szCs w:val="17"/>
                <w:color w:val="auto"/>
              </w:rPr>
              <w:t>32.2*</w:t>
            </w:r>
          </w:p>
        </w:tc>
        <w:tc>
          <w:tcPr>
            <w:tcW w:w="140" w:type="dxa"/>
            <w:vAlign w:val="bottom"/>
            <w:tcBorders>
              <w:right w:val="single" w:sz="8" w:color="0000EE"/>
            </w:tcBorders>
          </w:tcPr>
          <w:p>
            <w:pPr>
              <w:spacing w:after="0" w:line="20" w:lineRule="exact"/>
              <w:rPr>
                <w:sz w:val="1"/>
                <w:szCs w:val="1"/>
                <w:color w:val="auto"/>
              </w:rPr>
            </w:pPr>
          </w:p>
        </w:tc>
        <w:tc>
          <w:tcPr>
            <w:tcW w:w="2440" w:type="dxa"/>
            <w:vAlign w:val="bottom"/>
            <w:tcBorders>
              <w:right w:val="single" w:sz="8" w:color="0000EE"/>
            </w:tcBorders>
            <w:gridSpan w:val="7"/>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40" w:type="dxa"/>
            <w:vAlign w:val="bottom"/>
            <w:gridSpan w:val="13"/>
            <w:vMerge w:val="restart"/>
          </w:tcPr>
          <w:p>
            <w:pPr>
              <w:jc w:val="center"/>
              <w:ind w:right="480"/>
              <w:spacing w:after="0" w:line="189" w:lineRule="exact"/>
              <w:rPr>
                <w:sz w:val="20"/>
                <w:szCs w:val="20"/>
                <w:color w:val="auto"/>
              </w:rPr>
            </w:pPr>
            <w:r>
              <w:rPr>
                <w:rFonts w:ascii="Arial" w:cs="Arial" w:eastAsia="Arial" w:hAnsi="Arial"/>
                <w:sz w:val="17"/>
                <w:szCs w:val="17"/>
                <w:color w:val="0000FF"/>
              </w:rPr>
              <w:t>Officer Pursuant to 18</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7"/>
          </w:tcPr>
          <w:p>
            <w:pPr>
              <w:spacing w:after="0" w:line="169" w:lineRule="exact"/>
              <w:rPr>
                <w:sz w:val="20"/>
                <w:szCs w:val="20"/>
                <w:color w:val="auto"/>
              </w:rPr>
            </w:pPr>
            <w:r>
              <w:rPr>
                <w:rFonts w:ascii="Arial" w:cs="Arial" w:eastAsia="Arial" w:hAnsi="Arial"/>
                <w:sz w:val="17"/>
                <w:szCs w:val="17"/>
                <w:color w:val="0000FF"/>
                <w:w w:val="95"/>
              </w:rPr>
              <w:t>Certification of Principal Financial</w:t>
            </w:r>
          </w:p>
        </w:tc>
        <w:tc>
          <w:tcPr>
            <w:tcW w:w="40" w:type="dxa"/>
            <w:vAlign w:val="bottom"/>
            <w:vMerge w:val="continue"/>
          </w:tcPr>
          <w:p>
            <w:pPr>
              <w:spacing w:after="0"/>
              <w:rPr>
                <w:sz w:val="14"/>
                <w:szCs w:val="14"/>
                <w:color w:val="auto"/>
              </w:rPr>
            </w:pPr>
          </w:p>
        </w:tc>
        <w:tc>
          <w:tcPr>
            <w:tcW w:w="2240" w:type="dxa"/>
            <w:vAlign w:val="bottom"/>
            <w:gridSpan w:val="13"/>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480" w:type="dxa"/>
            <w:vAlign w:val="bottom"/>
            <w:gridSpan w:val="8"/>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20" w:type="dxa"/>
            <w:vAlign w:val="bottom"/>
            <w:gridSpan w:val="21"/>
          </w:tcPr>
          <w:p>
            <w:pPr>
              <w:spacing w:after="0" w:line="169" w:lineRule="exact"/>
              <w:rPr>
                <w:sz w:val="20"/>
                <w:szCs w:val="20"/>
                <w:color w:val="auto"/>
              </w:rPr>
            </w:pPr>
            <w:r>
              <w:rPr>
                <w:rFonts w:ascii="Arial" w:cs="Arial" w:eastAsia="Arial" w:hAnsi="Arial"/>
                <w:sz w:val="17"/>
                <w:szCs w:val="17"/>
                <w:color w:val="0000FF"/>
              </w:rPr>
              <w:t>U.S.C. Section 1350, as Adopted Pursuant to Section 906 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spacing w:after="0"/>
              <w:rPr>
                <w:sz w:val="20"/>
                <w:szCs w:val="20"/>
                <w:color w:val="auto"/>
              </w:rPr>
            </w:pPr>
            <w:r>
              <w:rPr>
                <w:rFonts w:ascii="Arial" w:cs="Arial" w:eastAsia="Arial" w:hAnsi="Arial"/>
                <w:sz w:val="17"/>
                <w:szCs w:val="17"/>
                <w:color w:val="auto"/>
              </w:rPr>
              <w:t>101.INS</w:t>
            </w:r>
          </w:p>
        </w:tc>
        <w:tc>
          <w:tcPr>
            <w:tcW w:w="140" w:type="dxa"/>
            <w:vAlign w:val="bottom"/>
          </w:tcPr>
          <w:p>
            <w:pPr>
              <w:spacing w:after="0"/>
              <w:rPr>
                <w:sz w:val="14"/>
                <w:szCs w:val="14"/>
                <w:color w:val="auto"/>
              </w:rPr>
            </w:pPr>
          </w:p>
        </w:tc>
        <w:tc>
          <w:tcPr>
            <w:tcW w:w="2480" w:type="dxa"/>
            <w:vAlign w:val="bottom"/>
            <w:tcBorders>
              <w:top w:val="single" w:sz="8" w:color="0000FF"/>
              <w:bottom w:val="single" w:sz="8" w:color="0000EE"/>
            </w:tcBorders>
            <w:gridSpan w:val="8"/>
          </w:tcPr>
          <w:p>
            <w:pPr>
              <w:spacing w:after="0" w:line="169" w:lineRule="exact"/>
              <w:rPr>
                <w:sz w:val="20"/>
                <w:szCs w:val="20"/>
                <w:color w:val="auto"/>
              </w:rPr>
            </w:pPr>
            <w:r>
              <w:rPr>
                <w:rFonts w:ascii="Arial" w:cs="Arial" w:eastAsia="Arial" w:hAnsi="Arial"/>
                <w:sz w:val="17"/>
                <w:szCs w:val="17"/>
                <w:color w:val="0000FF"/>
              </w:rPr>
              <w:t>the Sarbanes-Oxley Act of 2002.</w:t>
            </w:r>
          </w:p>
        </w:tc>
        <w:tc>
          <w:tcPr>
            <w:tcW w:w="2100" w:type="dxa"/>
            <w:vAlign w:val="bottom"/>
            <w:tcBorders>
              <w:top w:val="single" w:sz="8" w:color="0000FF"/>
            </w:tcBorders>
            <w:gridSpan w:val="11"/>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7"/>
          </w:tcPr>
          <w:p>
            <w:pPr>
              <w:spacing w:after="0" w:line="174" w:lineRule="exact"/>
              <w:rPr>
                <w:sz w:val="20"/>
                <w:szCs w:val="20"/>
                <w:color w:val="auto"/>
              </w:rPr>
            </w:pPr>
            <w:r>
              <w:rPr>
                <w:rFonts w:ascii="Arial" w:cs="Arial" w:eastAsia="Arial" w:hAnsi="Arial"/>
                <w:sz w:val="17"/>
                <w:szCs w:val="17"/>
                <w:color w:val="auto"/>
                <w:w w:val="99"/>
              </w:rPr>
              <w:t>Inline XBRL Instance Document</w:t>
            </w:r>
          </w:p>
        </w:tc>
        <w:tc>
          <w:tcPr>
            <w:tcW w:w="2280" w:type="dxa"/>
            <w:vAlign w:val="bottom"/>
            <w:gridSpan w:val="14"/>
          </w:tcPr>
          <w:p>
            <w:pPr>
              <w:jc w:val="center"/>
              <w:ind w:right="440"/>
              <w:spacing w:after="0" w:line="174" w:lineRule="exact"/>
              <w:rPr>
                <w:sz w:val="20"/>
                <w:szCs w:val="20"/>
                <w:color w:val="auto"/>
              </w:rPr>
            </w:pPr>
            <w:r>
              <w:rPr>
                <w:rFonts w:ascii="Arial" w:cs="Arial" w:eastAsia="Arial" w:hAnsi="Arial"/>
                <w:sz w:val="17"/>
                <w:szCs w:val="17"/>
                <w:color w:val="auto"/>
                <w:w w:val="99"/>
              </w:rPr>
              <w:t>– the instance document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gridSpan w:val="21"/>
          </w:tcPr>
          <w:p>
            <w:pPr>
              <w:spacing w:after="0" w:line="189" w:lineRule="exact"/>
              <w:rPr>
                <w:sz w:val="20"/>
                <w:szCs w:val="20"/>
                <w:color w:val="auto"/>
              </w:rPr>
            </w:pPr>
            <w:r>
              <w:rPr>
                <w:rFonts w:ascii="Arial" w:cs="Arial" w:eastAsia="Arial" w:hAnsi="Arial"/>
                <w:sz w:val="17"/>
                <w:szCs w:val="17"/>
                <w:color w:val="auto"/>
              </w:rPr>
              <w:t>does not appear in the Interactive Data File because XBRL</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gridSpan w:val="21"/>
          </w:tcPr>
          <w:p>
            <w:pPr>
              <w:spacing w:after="0" w:line="189" w:lineRule="exact"/>
              <w:rPr>
                <w:sz w:val="20"/>
                <w:szCs w:val="20"/>
                <w:color w:val="auto"/>
              </w:rPr>
            </w:pPr>
            <w:r>
              <w:rPr>
                <w:rFonts w:ascii="Arial" w:cs="Arial" w:eastAsia="Arial" w:hAnsi="Arial"/>
                <w:sz w:val="17"/>
                <w:szCs w:val="17"/>
                <w:color w:val="auto"/>
              </w:rPr>
              <w:t>tags are embedded within the Inline XBRL 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101.SCH</w:t>
            </w:r>
          </w:p>
        </w:tc>
        <w:tc>
          <w:tcPr>
            <w:tcW w:w="140" w:type="dxa"/>
            <w:vAlign w:val="bottom"/>
          </w:tcPr>
          <w:p>
            <w:pPr>
              <w:spacing w:after="0"/>
              <w:rPr>
                <w:sz w:val="16"/>
                <w:szCs w:val="16"/>
                <w:color w:val="auto"/>
              </w:rPr>
            </w:pPr>
          </w:p>
        </w:tc>
        <w:tc>
          <w:tcPr>
            <w:tcW w:w="4720" w:type="dxa"/>
            <w:vAlign w:val="bottom"/>
            <w:gridSpan w:val="21"/>
          </w:tcPr>
          <w:p>
            <w:pPr>
              <w:spacing w:after="0" w:line="189" w:lineRule="exact"/>
              <w:rPr>
                <w:sz w:val="20"/>
                <w:szCs w:val="20"/>
                <w:color w:val="auto"/>
              </w:rPr>
            </w:pPr>
            <w:r>
              <w:rPr>
                <w:rFonts w:ascii="Arial" w:cs="Arial" w:eastAsia="Arial" w:hAnsi="Arial"/>
                <w:sz w:val="17"/>
                <w:szCs w:val="17"/>
                <w:color w:val="auto"/>
              </w:rPr>
              <w:t>Inline XBRL Taxonomy Extension Schema 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101.CAL</w:t>
            </w:r>
          </w:p>
        </w:tc>
        <w:tc>
          <w:tcPr>
            <w:tcW w:w="140" w:type="dxa"/>
            <w:vAlign w:val="bottom"/>
          </w:tcPr>
          <w:p>
            <w:pPr>
              <w:spacing w:after="0"/>
              <w:rPr>
                <w:sz w:val="16"/>
                <w:szCs w:val="16"/>
                <w:color w:val="auto"/>
              </w:rPr>
            </w:pPr>
          </w:p>
        </w:tc>
        <w:tc>
          <w:tcPr>
            <w:tcW w:w="4720" w:type="dxa"/>
            <w:vAlign w:val="bottom"/>
            <w:gridSpan w:val="21"/>
          </w:tcPr>
          <w:p>
            <w:pPr>
              <w:spacing w:after="0" w:line="189" w:lineRule="exact"/>
              <w:rPr>
                <w:sz w:val="20"/>
                <w:szCs w:val="20"/>
                <w:color w:val="auto"/>
              </w:rPr>
            </w:pPr>
            <w:r>
              <w:rPr>
                <w:rFonts w:ascii="Arial" w:cs="Arial" w:eastAsia="Arial" w:hAnsi="Arial"/>
                <w:sz w:val="17"/>
                <w:szCs w:val="17"/>
                <w:color w:val="auto"/>
              </w:rPr>
              <w:t>Inline XBRL Taxonomy Extension Calculation Linkbase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gridSpan w:val="21"/>
          </w:tcPr>
          <w:p>
            <w:pPr>
              <w:spacing w:after="0" w:line="189" w:lineRule="exact"/>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101.DEF</w:t>
            </w:r>
          </w:p>
        </w:tc>
        <w:tc>
          <w:tcPr>
            <w:tcW w:w="140" w:type="dxa"/>
            <w:vAlign w:val="bottom"/>
          </w:tcPr>
          <w:p>
            <w:pPr>
              <w:spacing w:after="0"/>
              <w:rPr>
                <w:sz w:val="16"/>
                <w:szCs w:val="16"/>
                <w:color w:val="auto"/>
              </w:rPr>
            </w:pPr>
          </w:p>
        </w:tc>
        <w:tc>
          <w:tcPr>
            <w:tcW w:w="4720" w:type="dxa"/>
            <w:vAlign w:val="bottom"/>
            <w:gridSpan w:val="21"/>
          </w:tcPr>
          <w:p>
            <w:pPr>
              <w:spacing w:after="0" w:line="189" w:lineRule="exact"/>
              <w:rPr>
                <w:sz w:val="20"/>
                <w:szCs w:val="20"/>
                <w:color w:val="auto"/>
              </w:rPr>
            </w:pPr>
            <w:r>
              <w:rPr>
                <w:rFonts w:ascii="Arial" w:cs="Arial" w:eastAsia="Arial" w:hAnsi="Arial"/>
                <w:sz w:val="17"/>
                <w:szCs w:val="17"/>
                <w:color w:val="auto"/>
              </w:rPr>
              <w:t>Inline XBRL Taxonomy Extension Definition Linkbase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gridSpan w:val="21"/>
          </w:tcPr>
          <w:p>
            <w:pPr>
              <w:spacing w:after="0" w:line="189" w:lineRule="exact"/>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101.LAB</w:t>
            </w:r>
          </w:p>
        </w:tc>
        <w:tc>
          <w:tcPr>
            <w:tcW w:w="140" w:type="dxa"/>
            <w:vAlign w:val="bottom"/>
          </w:tcPr>
          <w:p>
            <w:pPr>
              <w:spacing w:after="0"/>
              <w:rPr>
                <w:sz w:val="16"/>
                <w:szCs w:val="16"/>
                <w:color w:val="auto"/>
              </w:rPr>
            </w:pPr>
          </w:p>
        </w:tc>
        <w:tc>
          <w:tcPr>
            <w:tcW w:w="4720" w:type="dxa"/>
            <w:vAlign w:val="bottom"/>
            <w:gridSpan w:val="21"/>
          </w:tcPr>
          <w:p>
            <w:pPr>
              <w:spacing w:after="0" w:line="189" w:lineRule="exact"/>
              <w:rPr>
                <w:sz w:val="20"/>
                <w:szCs w:val="20"/>
                <w:color w:val="auto"/>
              </w:rPr>
            </w:pPr>
            <w:r>
              <w:rPr>
                <w:rFonts w:ascii="Arial" w:cs="Arial" w:eastAsia="Arial" w:hAnsi="Arial"/>
                <w:sz w:val="17"/>
                <w:szCs w:val="17"/>
                <w:color w:val="auto"/>
              </w:rPr>
              <w:t>Inline XBRL Taxonomy Extension Label Linkbase Document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spacing w:after="0" w:line="189" w:lineRule="exact"/>
              <w:rPr>
                <w:sz w:val="20"/>
                <w:szCs w:val="20"/>
                <w:color w:val="auto"/>
              </w:rPr>
            </w:pPr>
            <w:r>
              <w:rPr>
                <w:rFonts w:ascii="Arial" w:cs="Arial" w:eastAsia="Arial" w:hAnsi="Arial"/>
                <w:sz w:val="17"/>
                <w:szCs w:val="17"/>
                <w:color w:val="auto"/>
              </w:rPr>
              <w:t>101.PRE</w:t>
            </w:r>
          </w:p>
        </w:tc>
        <w:tc>
          <w:tcPr>
            <w:tcW w:w="140" w:type="dxa"/>
            <w:vAlign w:val="bottom"/>
          </w:tcPr>
          <w:p>
            <w:pPr>
              <w:spacing w:after="0"/>
              <w:rPr>
                <w:sz w:val="16"/>
                <w:szCs w:val="16"/>
                <w:color w:val="auto"/>
              </w:rPr>
            </w:pPr>
          </w:p>
        </w:tc>
        <w:tc>
          <w:tcPr>
            <w:tcW w:w="4720" w:type="dxa"/>
            <w:vAlign w:val="bottom"/>
            <w:gridSpan w:val="21"/>
          </w:tcPr>
          <w:p>
            <w:pPr>
              <w:spacing w:after="0" w:line="189" w:lineRule="exact"/>
              <w:rPr>
                <w:sz w:val="20"/>
                <w:szCs w:val="20"/>
                <w:color w:val="auto"/>
              </w:rPr>
            </w:pPr>
            <w:r>
              <w:rPr>
                <w:rFonts w:ascii="Arial" w:cs="Arial" w:eastAsia="Arial" w:hAnsi="Arial"/>
                <w:sz w:val="17"/>
                <w:szCs w:val="17"/>
                <w:color w:val="auto"/>
              </w:rPr>
              <w:t>Inline XBRL Taxonomy Extension Presentation Linkbase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gridSpan w:val="21"/>
          </w:tcPr>
          <w:p>
            <w:pPr>
              <w:spacing w:after="0"/>
              <w:rPr>
                <w:sz w:val="20"/>
                <w:szCs w:val="20"/>
                <w:color w:val="auto"/>
              </w:rPr>
            </w:pPr>
            <w:r>
              <w:rPr>
                <w:rFonts w:ascii="Arial" w:cs="Arial" w:eastAsia="Arial" w:hAnsi="Arial"/>
                <w:sz w:val="17"/>
                <w:szCs w:val="17"/>
                <w:color w:val="auto"/>
              </w:rPr>
              <w:t>Document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40" w:right="5540" w:hanging="1017"/>
        <w:spacing w:after="0" w:line="248" w:lineRule="auto"/>
        <w:tabs>
          <w:tab w:leader="none" w:pos="1140" w:val="left"/>
        </w:tabs>
        <w:numPr>
          <w:ilvl w:val="2"/>
          <w:numId w:val="13"/>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69" w:lineRule="exact"/>
        <w:rPr>
          <w:rFonts w:ascii="Arial" w:cs="Arial" w:eastAsia="Arial" w:hAnsi="Arial"/>
          <w:sz w:val="17"/>
          <w:szCs w:val="17"/>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03" w:lineRule="exact"/>
        <w:rPr>
          <w:rFonts w:ascii="Arial" w:cs="Arial" w:eastAsia="Arial" w:hAnsi="Arial"/>
          <w:sz w:val="18"/>
          <w:szCs w:val="18"/>
          <w:color w:val="auto"/>
        </w:rPr>
      </w:pPr>
    </w:p>
    <w:p>
      <w:pPr>
        <w:ind w:right="20" w:firstLine="40"/>
        <w:spacing w:after="0" w:line="247" w:lineRule="auto"/>
        <w:rPr>
          <w:rFonts w:ascii="Arial" w:cs="Arial" w:eastAsia="Arial" w:hAnsi="Arial"/>
          <w:sz w:val="18"/>
          <w:szCs w:val="18"/>
          <w:color w:val="auto"/>
        </w:rPr>
      </w:pPr>
      <w:r>
        <w:rPr>
          <w:rFonts w:ascii="Arial" w:cs="Arial" w:eastAsia="Arial" w:hAnsi="Arial"/>
          <w:sz w:val="18"/>
          <w:szCs w:val="18"/>
          <w:color w:val="auto"/>
        </w:rPr>
        <w:t>* 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spacing w:after="0" w:line="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6" w:name="page27"/>
    <w:bookmarkEnd w:id="26"/>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PAYMENTUS HOLDINGS, INC.</w:t>
      </w:r>
    </w:p>
    <w:p>
      <w:pPr>
        <w:spacing w:after="0" w:line="198" w:lineRule="exact"/>
        <w:rPr>
          <w:sz w:val="20"/>
          <w:szCs w:val="20"/>
          <w:color w:val="auto"/>
        </w:rPr>
      </w:pPr>
    </w:p>
    <w:p>
      <w:pPr>
        <w:spacing w:after="0"/>
        <w:tabs>
          <w:tab w:leader="none" w:pos="5640" w:val="left"/>
          <w:tab w:leader="none" w:pos="6080" w:val="left"/>
        </w:tabs>
        <w:rPr>
          <w:sz w:val="20"/>
          <w:szCs w:val="20"/>
          <w:color w:val="auto"/>
        </w:rPr>
      </w:pPr>
      <w:r>
        <w:rPr>
          <w:rFonts w:ascii="Arial" w:cs="Arial" w:eastAsia="Arial" w:hAnsi="Arial"/>
          <w:sz w:val="18"/>
          <w:szCs w:val="18"/>
          <w:color w:val="auto"/>
        </w:rPr>
        <w:t>Date: May 7,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8890</wp:posOffset>
            </wp:positionV>
            <wp:extent cx="32658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Dushyant Sharma</w:t>
      </w:r>
    </w:p>
    <w:p>
      <w:pPr>
        <w:ind w:left="6100"/>
        <w:spacing w:after="0" w:line="234" w:lineRule="auto"/>
        <w:rPr>
          <w:sz w:val="20"/>
          <w:szCs w:val="20"/>
          <w:color w:val="auto"/>
        </w:rPr>
      </w:pPr>
      <w:r>
        <w:rPr>
          <w:rFonts w:ascii="Arial" w:cs="Arial" w:eastAsia="Arial" w:hAnsi="Arial"/>
          <w:sz w:val="18"/>
          <w:szCs w:val="18"/>
          <w:b w:val="1"/>
          <w:bCs w:val="1"/>
          <w:color w:val="auto"/>
        </w:rPr>
        <w:t>Chairman, President and Chief Executive Officer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(Principal Executive Officer)</w:t>
      </w:r>
    </w:p>
    <w:p>
      <w:pPr>
        <w:spacing w:after="0" w:line="180" w:lineRule="exact"/>
        <w:rPr>
          <w:sz w:val="20"/>
          <w:szCs w:val="20"/>
          <w:color w:val="auto"/>
        </w:rPr>
      </w:pPr>
    </w:p>
    <w:p>
      <w:pPr>
        <w:spacing w:after="0"/>
        <w:tabs>
          <w:tab w:leader="none" w:pos="5640" w:val="left"/>
          <w:tab w:leader="none" w:pos="6080" w:val="left"/>
        </w:tabs>
        <w:rPr>
          <w:sz w:val="20"/>
          <w:szCs w:val="20"/>
          <w:color w:val="auto"/>
        </w:rPr>
      </w:pPr>
      <w:r>
        <w:rPr>
          <w:rFonts w:ascii="Arial" w:cs="Arial" w:eastAsia="Arial" w:hAnsi="Arial"/>
          <w:sz w:val="18"/>
          <w:szCs w:val="18"/>
          <w:color w:val="auto"/>
        </w:rPr>
        <w:t>Date: May 7,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8890</wp:posOffset>
            </wp:positionV>
            <wp:extent cx="35401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Sanjay Kalra</w:t>
      </w:r>
    </w:p>
    <w:p>
      <w:pPr>
        <w:ind w:left="6100"/>
        <w:spacing w:after="0" w:line="234" w:lineRule="auto"/>
        <w:rPr>
          <w:sz w:val="20"/>
          <w:szCs w:val="20"/>
          <w:color w:val="auto"/>
        </w:rPr>
      </w:pPr>
      <w:r>
        <w:rPr>
          <w:rFonts w:ascii="Arial" w:cs="Arial" w:eastAsia="Arial" w:hAnsi="Arial"/>
          <w:sz w:val="18"/>
          <w:szCs w:val="18"/>
          <w:b w:val="1"/>
          <w:bCs w:val="1"/>
          <w:color w:val="auto"/>
        </w:rPr>
        <w:t>Senior Vice President and Chief Financial Officer</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color w:val="auto"/>
        </w:rPr>
        <w:t>Exhibit 10.1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PAYMENTUS HOLDINGS,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EQUITY INCENTIVE PLAN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UNIT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RESTRICTED STOCK UNIT GRANT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(INDEPENDENT CONTRACTORS)</w:t>
      </w:r>
    </w:p>
    <w:p>
      <w:pPr>
        <w:spacing w:after="0" w:line="11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Unless otherwise defined herein, the terms defined in the Paymentus Holdings, Inc. 2021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will have the same defined meanings in this Restricted Stock Unit Agreement, which includes the Notice of Restricted Stock Unit Grant (the “</w:t>
      </w:r>
      <w:r>
        <w:rPr>
          <w:rFonts w:ascii="Arial" w:cs="Arial" w:eastAsia="Arial" w:hAnsi="Arial"/>
          <w:sz w:val="16"/>
          <w:szCs w:val="16"/>
          <w:b w:val="1"/>
          <w:bCs w:val="1"/>
          <w:color w:val="auto"/>
        </w:rPr>
        <w:t>Notice of Grant</w:t>
      </w:r>
      <w:r>
        <w:rPr>
          <w:rFonts w:ascii="Arial" w:cs="Arial" w:eastAsia="Arial" w:hAnsi="Arial"/>
          <w:sz w:val="16"/>
          <w:szCs w:val="16"/>
          <w:color w:val="auto"/>
        </w:rPr>
        <w:t xml:space="preserve">”), the Terms and Conditions of Restricted Stock Unit Grant,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and all other exhibits, appendices, and addenda attached hereto (including any additional terms and conditions for Participant’s country set forth in Appendix 1 to the Terms and Conditions of Restricted Stock Unit Grant (the “</w:t>
      </w:r>
      <w:r>
        <w:rPr>
          <w:rFonts w:ascii="Arial" w:cs="Arial" w:eastAsia="Arial" w:hAnsi="Arial"/>
          <w:sz w:val="16"/>
          <w:szCs w:val="16"/>
          <w:b w:val="1"/>
          <w:bCs w:val="1"/>
          <w:color w:val="auto"/>
        </w:rPr>
        <w:t>Country</w:t>
      </w:r>
      <w:r>
        <w:rPr>
          <w:rFonts w:ascii="Arial" w:cs="Arial" w:eastAsia="Arial" w:hAnsi="Arial"/>
          <w:sz w:val="16"/>
          <w:szCs w:val="16"/>
          <w:color w:val="auto"/>
        </w:rPr>
        <w:t xml:space="preserve"> </w:t>
      </w:r>
      <w:r>
        <w:rPr>
          <w:rFonts w:ascii="Arial" w:cs="Arial" w:eastAsia="Arial" w:hAnsi="Arial"/>
          <w:sz w:val="16"/>
          <w:szCs w:val="16"/>
          <w:b w:val="1"/>
          <w:bCs w:val="1"/>
          <w:color w:val="auto"/>
        </w:rPr>
        <w:t>Addendum</w:t>
      </w:r>
      <w:r>
        <w:rPr>
          <w:rFonts w:ascii="Arial" w:cs="Arial" w:eastAsia="Arial" w:hAnsi="Arial"/>
          <w:sz w:val="16"/>
          <w:szCs w:val="16"/>
          <w:color w:val="auto"/>
        </w:rPr>
        <w:t>”) and restrictive covenants set forth in Appendix 2 to the Terms and Conditions of Restricted Stock Unit Grant (the “</w:t>
      </w:r>
      <w:r>
        <w:rPr>
          <w:rFonts w:ascii="Arial" w:cs="Arial" w:eastAsia="Arial" w:hAnsi="Arial"/>
          <w:sz w:val="16"/>
          <w:szCs w:val="16"/>
          <w:b w:val="1"/>
          <w:bCs w:val="1"/>
          <w:color w:val="auto"/>
        </w:rPr>
        <w:t>Restrictive Covenants Addendum</w:t>
      </w:r>
      <w:r>
        <w:rPr>
          <w:rFonts w:ascii="Arial" w:cs="Arial" w:eastAsia="Arial" w:hAnsi="Arial"/>
          <w:sz w:val="16"/>
          <w:szCs w:val="16"/>
          <w:color w:val="auto"/>
        </w:rPr>
        <w:t>”)) (together, the “</w:t>
      </w:r>
      <w:r>
        <w:rPr>
          <w:rFonts w:ascii="Arial" w:cs="Arial" w:eastAsia="Arial" w:hAnsi="Arial"/>
          <w:sz w:val="16"/>
          <w:szCs w:val="16"/>
          <w:b w:val="1"/>
          <w:bCs w:val="1"/>
          <w:color w:val="auto"/>
        </w:rPr>
        <w:t>Award Agreement</w:t>
      </w:r>
      <w:r>
        <w:rPr>
          <w:rFonts w:ascii="Arial" w:cs="Arial" w:eastAsia="Arial" w:hAnsi="Arial"/>
          <w:sz w:val="16"/>
          <w:szCs w:val="16"/>
          <w:color w:val="auto"/>
        </w:rPr>
        <w:t>”).</w:t>
      </w:r>
    </w:p>
    <w:p>
      <w:pPr>
        <w:spacing w:after="0" w:line="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Participant Name:</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Address:</w:t>
      </w:r>
    </w:p>
    <w:p>
      <w:pPr>
        <w:spacing w:after="0" w:line="11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undersigned Participant has been granted an Award of Restricted Stock Units, subject to the terms and conditions of the Plan and this Award Agreement, as follows: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29210</wp:posOffset>
            </wp:positionV>
            <wp:extent cx="24860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29210</wp:posOffset>
            </wp:positionV>
            <wp:extent cx="24860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29210</wp:posOffset>
            </wp:positionV>
            <wp:extent cx="24860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Schedule</w:t>
      </w:r>
      <w:r>
        <w:rPr>
          <w:rFonts w:ascii="Arial" w:cs="Arial" w:eastAsia="Arial" w:hAnsi="Arial"/>
          <w:sz w:val="16"/>
          <w:szCs w:val="16"/>
          <w:color w:val="auto"/>
        </w:rPr>
        <w:t>:</w:t>
      </w:r>
    </w:p>
    <w:p>
      <w:pPr>
        <w:spacing w:after="0" w:line="11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For purposes of this Award Agreement, “</w:t>
      </w:r>
      <w:r>
        <w:rPr>
          <w:rFonts w:ascii="Arial" w:cs="Arial" w:eastAsia="Arial" w:hAnsi="Arial"/>
          <w:sz w:val="16"/>
          <w:szCs w:val="16"/>
          <w:b w:val="1"/>
          <w:bCs w:val="1"/>
          <w:color w:val="auto"/>
        </w:rPr>
        <w:t>Quarterly Vesting Dates</w:t>
      </w:r>
      <w:r>
        <w:rPr>
          <w:rFonts w:ascii="Arial" w:cs="Arial" w:eastAsia="Arial" w:hAnsi="Arial"/>
          <w:sz w:val="16"/>
          <w:szCs w:val="16"/>
          <w:color w:val="auto"/>
        </w:rPr>
        <w:t>” with respect to any calendar year means February 15, May 15, August 15, and November 15.</w:t>
      </w:r>
    </w:p>
    <w:p>
      <w:pPr>
        <w:spacing w:after="0" w:line="48"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Subject to any acceleration provisions contained in the Plan, this Award Agreement or any other written agreement authorized by the Administrator between Participant and the Company (or any Parent or Subsidiary of the Company, as applicable) governing the terms of this Award, The Restricted Stock Units will be scheduled to vest according to the following vesting schedule:</w:t>
      </w:r>
    </w:p>
    <w:p>
      <w:pPr>
        <w:spacing w:after="0" w:line="64" w:lineRule="exact"/>
        <w:rPr>
          <w:sz w:val="20"/>
          <w:szCs w:val="20"/>
          <w:color w:val="auto"/>
        </w:rPr>
      </w:pPr>
    </w:p>
    <w:p>
      <w:pPr>
        <w:jc w:val="both"/>
        <w:ind w:firstLine="749"/>
        <w:spacing w:after="0" w:line="200" w:lineRule="exact"/>
        <w:rPr>
          <w:sz w:val="20"/>
          <w:szCs w:val="20"/>
          <w:color w:val="auto"/>
        </w:rPr>
      </w:pPr>
      <w:r>
        <w:rPr>
          <w:rFonts w:ascii="Arial" w:cs="Arial" w:eastAsia="Arial" w:hAnsi="Arial"/>
          <w:sz w:val="16"/>
          <w:szCs w:val="16"/>
          <w:color w:val="auto"/>
        </w:rPr>
        <w:t>One-fifth (1/5</w:t>
      </w:r>
      <w:r>
        <w:rPr>
          <w:rFonts w:ascii="Arial" w:cs="Arial" w:eastAsia="Arial" w:hAnsi="Arial"/>
          <w:sz w:val="21"/>
          <w:szCs w:val="21"/>
          <w:color w:val="auto"/>
          <w:vertAlign w:val="superscript"/>
        </w:rPr>
        <w:t>th</w:t>
      </w:r>
      <w:r>
        <w:rPr>
          <w:rFonts w:ascii="Arial" w:cs="Arial" w:eastAsia="Arial" w:hAnsi="Arial"/>
          <w:sz w:val="16"/>
          <w:szCs w:val="16"/>
          <w:color w:val="auto"/>
        </w:rPr>
        <w:t>) of the Total Number of Restricted Stock Units (as set forth above) subject to this Award Agreement will be scheduled to vest on the one (1) year anniversary of the Grant Date (such first vesting date, the “</w:t>
      </w:r>
      <w:r>
        <w:rPr>
          <w:rFonts w:ascii="Arial" w:cs="Arial" w:eastAsia="Arial" w:hAnsi="Arial"/>
          <w:sz w:val="16"/>
          <w:szCs w:val="16"/>
          <w:b w:val="1"/>
          <w:bCs w:val="1"/>
          <w:color w:val="auto"/>
        </w:rPr>
        <w:t>First Vesting Date</w:t>
      </w:r>
      <w:r>
        <w:rPr>
          <w:rFonts w:ascii="Arial" w:cs="Arial" w:eastAsia="Arial" w:hAnsi="Arial"/>
          <w:sz w:val="16"/>
          <w:szCs w:val="16"/>
          <w:color w:val="auto"/>
        </w:rPr>
        <w:t>”), and thereafter, one</w:t>
      </w:r>
      <w:r>
        <w:rPr>
          <w:rFonts w:ascii="MS PGothic" w:cs="MS PGothic" w:eastAsia="MS PGothic" w:hAnsi="MS PGothic"/>
          <w:sz w:val="16"/>
          <w:szCs w:val="16"/>
          <w:color w:val="auto"/>
        </w:rPr>
        <w:t>‑</w:t>
      </w:r>
      <w:r>
        <w:rPr>
          <w:rFonts w:ascii="Arial" w:cs="Arial" w:eastAsia="Arial" w:hAnsi="Arial"/>
          <w:sz w:val="16"/>
          <w:szCs w:val="16"/>
          <w:color w:val="auto"/>
        </w:rPr>
        <w:t>twentieth (1/20</w:t>
      </w:r>
      <w:r>
        <w:rPr>
          <w:rFonts w:ascii="Arial" w:cs="Arial" w:eastAsia="Arial" w:hAnsi="Arial"/>
          <w:sz w:val="21"/>
          <w:szCs w:val="21"/>
          <w:color w:val="auto"/>
          <w:vertAlign w:val="superscript"/>
        </w:rPr>
        <w:t>th</w:t>
      </w:r>
      <w:r>
        <w:rPr>
          <w:rFonts w:ascii="Arial" w:cs="Arial" w:eastAsia="Arial" w:hAnsi="Arial"/>
          <w:sz w:val="16"/>
          <w:szCs w:val="16"/>
          <w:color w:val="auto"/>
        </w:rPr>
        <w:t>) of the Total Number of Restricted Stock Units subject to this Award Agreement will be scheduled to vest on each of the sixteen (16) Quarterly Vesting Dates that occur after the First Vesting Date, beginning with the second Quarterly Vesting Date following the First Vesting Date, subject to Participant continuing to be a Service Provider through the applicable vesting date.</w:t>
      </w:r>
    </w:p>
    <w:p>
      <w:pPr>
        <w:spacing w:after="0" w:line="8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 xml:space="preserve">By Participant’s signature or by Participant’s acceptance of the Award Agreement via the Company’s designated electronic acceptance procedures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and all other exhibits, appendices and addenda attached hereto (including any Country Addendum and Restrictive Covenants Addendum),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PARTICIPANT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2143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2143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32143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406400</wp:posOffset>
            </wp:positionV>
            <wp:extent cx="32143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PAYMENTUS HOLDINGS, INC.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2061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2061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2061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93" w:lineRule="exact"/>
        <w:rPr>
          <w:sz w:val="20"/>
          <w:szCs w:val="20"/>
          <w:color w:val="auto"/>
        </w:rPr>
      </w:pPr>
    </w:p>
    <w:p>
      <w:pPr>
        <w:sectPr>
          <w:pgSz w:w="11900" w:h="16838" w:orient="portrait"/>
          <w:cols w:equalWidth="0" w:num="2">
            <w:col w:w="5480" w:space="720"/>
            <w:col w:w="3939"/>
          </w:cols>
          <w:pgMar w:left="320" w:top="14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1" w:right="1440" w:bottom="1440" w:gutter="0" w:footer="0" w:header="0"/>
          <w:type w:val="continuous"/>
        </w:sectPr>
      </w:pPr>
    </w:p>
    <w:bookmarkStart w:id="29" w:name="page30"/>
    <w:bookmarkEnd w:id="29"/>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PAYMENTUS HOLDINGS,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EQUITY INCENTIVE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UNIT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TERMS AND CONDITIONS OF RESTRICTED STOCK UNIT GRANT</w:t>
      </w:r>
    </w:p>
    <w:p>
      <w:pPr>
        <w:spacing w:after="0" w:line="113" w:lineRule="exact"/>
        <w:rPr>
          <w:sz w:val="20"/>
          <w:szCs w:val="20"/>
          <w:color w:val="auto"/>
        </w:rPr>
      </w:pPr>
    </w:p>
    <w:p>
      <w:pPr>
        <w:jc w:val="both"/>
        <w:ind w:firstLine="757"/>
        <w:spacing w:after="0" w:line="259" w:lineRule="auto"/>
        <w:tabs>
          <w:tab w:leader="none" w:pos="1018"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Grant of Restricted Stock Units</w:t>
      </w:r>
      <w:r>
        <w:rPr>
          <w:rFonts w:ascii="Arial" w:cs="Arial" w:eastAsia="Arial" w:hAnsi="Arial"/>
          <w:sz w:val="16"/>
          <w:szCs w:val="16"/>
          <w:color w:val="auto"/>
        </w:rPr>
        <w:t>. Paymentus Holdings, Inc. (the “</w:t>
      </w:r>
      <w:r>
        <w:rPr>
          <w:rFonts w:ascii="Arial" w:cs="Arial" w:eastAsia="Arial" w:hAnsi="Arial"/>
          <w:sz w:val="16"/>
          <w:szCs w:val="16"/>
          <w:b w:val="1"/>
          <w:bCs w:val="1"/>
          <w:color w:val="auto"/>
        </w:rPr>
        <w:t>Company</w:t>
      </w:r>
      <w:r>
        <w:rPr>
          <w:rFonts w:ascii="Arial" w:cs="Arial" w:eastAsia="Arial" w:hAnsi="Arial"/>
          <w:sz w:val="16"/>
          <w:szCs w:val="16"/>
          <w:color w:val="auto"/>
        </w:rPr>
        <w:t>”) hereby grants to the individual (“</w:t>
      </w:r>
      <w:r>
        <w:rPr>
          <w:rFonts w:ascii="Arial" w:cs="Arial" w:eastAsia="Arial" w:hAnsi="Arial"/>
          <w:sz w:val="16"/>
          <w:szCs w:val="16"/>
          <w:b w:val="1"/>
          <w:bCs w:val="1"/>
          <w:color w:val="auto"/>
        </w:rPr>
        <w:t>Participant</w:t>
      </w:r>
      <w:r>
        <w:rPr>
          <w:rFonts w:ascii="Arial" w:cs="Arial" w:eastAsia="Arial" w:hAnsi="Arial"/>
          <w:sz w:val="16"/>
          <w:szCs w:val="16"/>
          <w:color w:val="auto"/>
        </w:rPr>
        <w:t>”) named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Restricted Stock Unit Grant of this Award Agreement (the “</w:t>
      </w:r>
      <w:r>
        <w:rPr>
          <w:rFonts w:ascii="Arial" w:cs="Arial" w:eastAsia="Arial" w:hAnsi="Arial"/>
          <w:sz w:val="16"/>
          <w:szCs w:val="16"/>
          <w:b w:val="1"/>
          <w:bCs w:val="1"/>
          <w:color w:val="auto"/>
        </w:rPr>
        <w:t>Notice of Grant</w:t>
      </w:r>
      <w:r>
        <w:rPr>
          <w:rFonts w:ascii="Arial" w:cs="Arial" w:eastAsia="Arial" w:hAnsi="Arial"/>
          <w:sz w:val="16"/>
          <w:szCs w:val="16"/>
          <w:color w:val="auto"/>
        </w:rPr>
        <w:t>”) under the Plan an Award of Restricted Stock Units,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spacing w:after="0" w:line="69" w:lineRule="exact"/>
        <w:rPr>
          <w:rFonts w:ascii="Arial" w:cs="Arial" w:eastAsia="Arial" w:hAnsi="Arial"/>
          <w:sz w:val="16"/>
          <w:szCs w:val="16"/>
          <w:b w:val="1"/>
          <w:bCs w:val="1"/>
          <w:color w:val="auto"/>
        </w:rPr>
      </w:pPr>
    </w:p>
    <w:p>
      <w:pPr>
        <w:jc w:val="both"/>
        <w:ind w:firstLine="757"/>
        <w:spacing w:after="0" w:line="259" w:lineRule="auto"/>
        <w:tabs>
          <w:tab w:leader="none" w:pos="1018"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Company’s Obligation to Pay</w:t>
      </w:r>
      <w:r>
        <w:rPr>
          <w:rFonts w:ascii="Arial" w:cs="Arial" w:eastAsia="Arial" w:hAnsi="Arial"/>
          <w:sz w:val="16"/>
          <w:szCs w:val="16"/>
          <w:color w:val="auto"/>
        </w:rPr>
        <w:t>. Each Restricted Stock Unit represents the right to receive a share of the Company’s Class A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(a “</w:t>
      </w:r>
      <w:r>
        <w:rPr>
          <w:rFonts w:ascii="Arial" w:cs="Arial" w:eastAsia="Arial" w:hAnsi="Arial"/>
          <w:sz w:val="16"/>
          <w:szCs w:val="16"/>
          <w:b w:val="1"/>
          <w:bCs w:val="1"/>
          <w:color w:val="auto"/>
        </w:rPr>
        <w:t>Share</w:t>
      </w:r>
      <w:r>
        <w:rPr>
          <w:rFonts w:ascii="Arial" w:cs="Arial" w:eastAsia="Arial" w:hAnsi="Arial"/>
          <w:sz w:val="16"/>
          <w:szCs w:val="16"/>
          <w:color w:val="auto"/>
        </w:rPr>
        <w:t>”)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69" w:lineRule="exact"/>
        <w:rPr>
          <w:rFonts w:ascii="Arial" w:cs="Arial" w:eastAsia="Arial" w:hAnsi="Arial"/>
          <w:sz w:val="16"/>
          <w:szCs w:val="16"/>
          <w:b w:val="1"/>
          <w:bCs w:val="1"/>
          <w:color w:val="auto"/>
        </w:rPr>
      </w:pPr>
    </w:p>
    <w:p>
      <w:pPr>
        <w:jc w:val="both"/>
        <w:ind w:firstLine="757"/>
        <w:spacing w:after="0" w:line="254" w:lineRule="auto"/>
        <w:tabs>
          <w:tab w:leader="none" w:pos="1018"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Vesting Schedule</w:t>
      </w:r>
      <w:r>
        <w:rPr>
          <w:rFonts w:ascii="Arial" w:cs="Arial" w:eastAsia="Arial" w:hAnsi="Arial"/>
          <w:sz w:val="16"/>
          <w:szCs w:val="16"/>
          <w:color w:val="auto"/>
        </w:rPr>
        <w:t>. Except as provided in Section 4, and subject to Section 5, the Restricted Stock Units awarded by this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Grant Date until the date such vesting occurs.</w:t>
      </w:r>
    </w:p>
    <w:p>
      <w:pPr>
        <w:spacing w:after="0" w:line="73" w:lineRule="exact"/>
        <w:rPr>
          <w:rFonts w:ascii="Arial" w:cs="Arial" w:eastAsia="Arial" w:hAnsi="Arial"/>
          <w:sz w:val="16"/>
          <w:szCs w:val="16"/>
          <w:b w:val="1"/>
          <w:bCs w:val="1"/>
          <w:color w:val="auto"/>
        </w:rPr>
      </w:pPr>
    </w:p>
    <w:p>
      <w:pPr>
        <w:ind w:left="1020" w:hanging="263"/>
        <w:spacing w:after="0"/>
        <w:tabs>
          <w:tab w:leader="none" w:pos="102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Payment after Vesting</w:t>
      </w:r>
      <w:r>
        <w:rPr>
          <w:rFonts w:ascii="Arial" w:cs="Arial" w:eastAsia="Arial" w:hAnsi="Arial"/>
          <w:sz w:val="16"/>
          <w:szCs w:val="16"/>
          <w:color w:val="auto"/>
        </w:rPr>
        <w:t>.</w:t>
      </w:r>
    </w:p>
    <w:p>
      <w:pPr>
        <w:spacing w:after="0" w:line="113" w:lineRule="exact"/>
        <w:rPr>
          <w:rFonts w:ascii="Arial" w:cs="Arial" w:eastAsia="Arial" w:hAnsi="Arial"/>
          <w:sz w:val="16"/>
          <w:szCs w:val="16"/>
          <w:b w:val="1"/>
          <w:bCs w:val="1"/>
          <w:color w:val="auto"/>
        </w:rPr>
      </w:pPr>
    </w:p>
    <w:p>
      <w:pPr>
        <w:jc w:val="both"/>
        <w:ind w:firstLine="1505"/>
        <w:spacing w:after="0" w:line="256" w:lineRule="auto"/>
        <w:tabs>
          <w:tab w:leader="none" w:pos="2036" w:val="left"/>
        </w:tabs>
        <w:numPr>
          <w:ilvl w:val="1"/>
          <w:numId w:val="14"/>
        </w:numPr>
        <w:rPr>
          <w:rFonts w:ascii="Arial" w:cs="Arial" w:eastAsia="Arial" w:hAnsi="Arial"/>
          <w:sz w:val="16"/>
          <w:szCs w:val="16"/>
          <w:color w:val="auto"/>
        </w:rPr>
      </w:pPr>
      <w:r>
        <w:rPr>
          <w:rFonts w:ascii="Arial" w:cs="Arial" w:eastAsia="Arial" w:hAnsi="Arial"/>
          <w:sz w:val="16"/>
          <w:szCs w:val="16"/>
          <w:b w:val="1"/>
          <w:bCs w:val="1"/>
          <w:color w:val="auto"/>
        </w:rPr>
        <w:t>General Rule</w:t>
      </w:r>
      <w:r>
        <w:rPr>
          <w:rFonts w:ascii="Arial" w:cs="Arial" w:eastAsia="Arial" w:hAnsi="Arial"/>
          <w:sz w:val="16"/>
          <w:szCs w:val="16"/>
          <w:color w:val="auto"/>
        </w:rPr>
        <w:t>. Subject to Section 7, any Restricted Stock Units that vest will be paid to Participant (or in the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death, to his or her properly and validly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71" w:lineRule="exact"/>
        <w:rPr>
          <w:rFonts w:ascii="Arial" w:cs="Arial" w:eastAsia="Arial" w:hAnsi="Arial"/>
          <w:sz w:val="16"/>
          <w:szCs w:val="16"/>
          <w:color w:val="auto"/>
        </w:rPr>
      </w:pPr>
    </w:p>
    <w:p>
      <w:pPr>
        <w:jc w:val="both"/>
        <w:ind w:right="20" w:firstLine="1505"/>
        <w:spacing w:after="0" w:line="266" w:lineRule="auto"/>
        <w:tabs>
          <w:tab w:leader="none" w:pos="2036" w:val="left"/>
        </w:tabs>
        <w:numPr>
          <w:ilvl w:val="1"/>
          <w:numId w:val="14"/>
        </w:numPr>
        <w:rPr>
          <w:rFonts w:ascii="Arial" w:cs="Arial" w:eastAsia="Arial" w:hAnsi="Arial"/>
          <w:sz w:val="16"/>
          <w:szCs w:val="16"/>
          <w:color w:val="auto"/>
        </w:rPr>
      </w:pPr>
      <w:r>
        <w:rPr>
          <w:rFonts w:ascii="Arial" w:cs="Arial" w:eastAsia="Arial" w:hAnsi="Arial"/>
          <w:sz w:val="16"/>
          <w:szCs w:val="16"/>
          <w:b w:val="1"/>
          <w:bCs w:val="1"/>
          <w:color w:val="auto"/>
        </w:rPr>
        <w:t>Discretionary Acceleration</w:t>
      </w:r>
      <w:r>
        <w:rPr>
          <w:rFonts w:ascii="Arial" w:cs="Arial" w:eastAsia="Arial" w:hAnsi="Arial"/>
          <w:sz w:val="16"/>
          <w:szCs w:val="16"/>
          <w:color w:val="auto"/>
        </w:rPr>
        <w:t>. The Administrator, in its discretion, may accelerate the vesting of the balance, or some lesser</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the balance, of the unvested Restricted Stock Units at any time, subject to the terms of the Plan. If so accelerated, such Restricted Stock Units will be considered as having vested as of the date specified by the Administrator.</w:t>
      </w:r>
    </w:p>
    <w:p>
      <w:pPr>
        <w:spacing w:after="0" w:line="63" w:lineRule="exact"/>
        <w:rPr>
          <w:rFonts w:ascii="Arial" w:cs="Arial" w:eastAsia="Arial" w:hAnsi="Arial"/>
          <w:sz w:val="16"/>
          <w:szCs w:val="16"/>
          <w:color w:val="auto"/>
        </w:rPr>
      </w:pPr>
    </w:p>
    <w:p>
      <w:pPr>
        <w:ind w:left="2040" w:hanging="535"/>
        <w:spacing w:after="0"/>
        <w:tabs>
          <w:tab w:leader="none" w:pos="2040" w:val="left"/>
        </w:tabs>
        <w:numPr>
          <w:ilvl w:val="1"/>
          <w:numId w:val="14"/>
        </w:numPr>
        <w:rPr>
          <w:rFonts w:ascii="Arial" w:cs="Arial" w:eastAsia="Arial" w:hAnsi="Arial"/>
          <w:sz w:val="16"/>
          <w:szCs w:val="16"/>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jc w:val="both"/>
        <w:ind w:firstLine="2254"/>
        <w:spacing w:after="0" w:line="266" w:lineRule="auto"/>
        <w:tabs>
          <w:tab w:leader="none" w:pos="2546" w:val="left"/>
        </w:tabs>
        <w:numPr>
          <w:ilvl w:val="2"/>
          <w:numId w:val="14"/>
        </w:numPr>
        <w:rPr>
          <w:rFonts w:ascii="Arial" w:cs="Arial" w:eastAsia="Arial" w:hAnsi="Arial"/>
          <w:sz w:val="16"/>
          <w:szCs w:val="16"/>
          <w:color w:val="auto"/>
        </w:rPr>
      </w:pPr>
      <w:r>
        <w:rPr>
          <w:rFonts w:ascii="Arial" w:cs="Arial" w:eastAsia="Arial" w:hAnsi="Arial"/>
          <w:sz w:val="16"/>
          <w:szCs w:val="16"/>
          <w:color w:val="auto"/>
        </w:rPr>
        <w:t>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63" w:lineRule="exact"/>
        <w:rPr>
          <w:rFonts w:ascii="Arial" w:cs="Arial" w:eastAsia="Arial" w:hAnsi="Arial"/>
          <w:sz w:val="16"/>
          <w:szCs w:val="16"/>
          <w:color w:val="auto"/>
        </w:rPr>
      </w:pPr>
    </w:p>
    <w:p>
      <w:pPr>
        <w:jc w:val="both"/>
        <w:ind w:firstLine="2254"/>
        <w:spacing w:after="0" w:line="252" w:lineRule="auto"/>
        <w:tabs>
          <w:tab w:leader="none" w:pos="2546" w:val="left"/>
        </w:tabs>
        <w:numPr>
          <w:ilvl w:val="2"/>
          <w:numId w:val="14"/>
        </w:numPr>
        <w:rPr>
          <w:rFonts w:ascii="Arial" w:cs="Arial" w:eastAsia="Arial" w:hAnsi="Arial"/>
          <w:sz w:val="16"/>
          <w:szCs w:val="16"/>
          <w:color w:val="auto"/>
        </w:rPr>
      </w:pPr>
      <w:r>
        <w:rPr>
          <w:rFonts w:ascii="Arial" w:cs="Arial" w:eastAsia="Arial" w:hAnsi="Arial"/>
          <w:sz w:val="16"/>
          <w:szCs w:val="16"/>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74" w:lineRule="exact"/>
        <w:rPr>
          <w:rFonts w:ascii="Arial" w:cs="Arial" w:eastAsia="Arial" w:hAnsi="Arial"/>
          <w:sz w:val="16"/>
          <w:szCs w:val="16"/>
          <w:color w:val="auto"/>
        </w:rPr>
      </w:pPr>
    </w:p>
    <w:p>
      <w:pPr>
        <w:jc w:val="both"/>
        <w:ind w:firstLine="757"/>
        <w:spacing w:after="0" w:line="266" w:lineRule="auto"/>
        <w:tabs>
          <w:tab w:leader="none" w:pos="1018"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Forfeiture Upon Termination as a Service Provider</w:t>
      </w:r>
      <w:r>
        <w:rPr>
          <w:rFonts w:ascii="Arial" w:cs="Arial" w:eastAsia="Arial" w:hAnsi="Arial"/>
          <w:sz w:val="16"/>
          <w:szCs w:val="16"/>
          <w:color w:val="auto"/>
        </w:rPr>
        <w:t>. Unless specifically provided otherwise in this Award Agreement or other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authorized by the Administrator between Participant and the Company or any of its Subsidiaries or Parents, as applicable, governing the terms of this Award, if Participant ceases to be a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any or no reason, the then-unvested Restricted Stock Units awarded by this Award Agreement will thereupon be forfeited at no cost to the Company and Participant will have no further rights thereunder.</w:t>
      </w:r>
    </w:p>
    <w:p>
      <w:pPr>
        <w:spacing w:after="0" w:line="48" w:lineRule="exact"/>
        <w:rPr>
          <w:sz w:val="20"/>
          <w:szCs w:val="20"/>
          <w:color w:val="auto"/>
        </w:rPr>
      </w:pPr>
    </w:p>
    <w:p>
      <w:pPr>
        <w:jc w:val="both"/>
        <w:ind w:firstLine="757"/>
        <w:spacing w:after="0" w:line="254" w:lineRule="auto"/>
        <w:tabs>
          <w:tab w:leader="none" w:pos="1018"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Death of Participant</w:t>
      </w:r>
      <w:r>
        <w:rPr>
          <w:rFonts w:ascii="Arial" w:cs="Arial" w:eastAsia="Arial" w:hAnsi="Arial"/>
          <w:sz w:val="16"/>
          <w:szCs w:val="16"/>
          <w:color w:val="auto"/>
        </w:rPr>
        <w:t>. Any distribution or delivery to be made to Participant under this Award Agreement, if Participant is then deceased,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made to Participant’s designated beneficiary: provided, however, that the Administrator has permitted the designation and such designation is valid under Applicable Laws. If no beneficiary survives Participant, or if the designation was not permitted by the Administrator or not valid under Applicable Laws, distribution or delivery shall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73" w:lineRule="exact"/>
        <w:rPr>
          <w:rFonts w:ascii="Arial" w:cs="Arial" w:eastAsia="Arial" w:hAnsi="Arial"/>
          <w:sz w:val="16"/>
          <w:szCs w:val="16"/>
          <w:b w:val="1"/>
          <w:bCs w:val="1"/>
          <w:color w:val="auto"/>
        </w:rPr>
      </w:pPr>
    </w:p>
    <w:p>
      <w:pPr>
        <w:ind w:left="1020" w:hanging="263"/>
        <w:spacing w:after="0"/>
        <w:tabs>
          <w:tab w:leader="none" w:pos="102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Tax Obligations</w:t>
      </w:r>
    </w:p>
    <w:p>
      <w:pPr>
        <w:spacing w:after="0" w:line="113" w:lineRule="exact"/>
        <w:rPr>
          <w:rFonts w:ascii="Arial" w:cs="Arial" w:eastAsia="Arial" w:hAnsi="Arial"/>
          <w:sz w:val="16"/>
          <w:szCs w:val="16"/>
          <w:b w:val="1"/>
          <w:bCs w:val="1"/>
          <w:color w:val="auto"/>
        </w:rPr>
      </w:pPr>
    </w:p>
    <w:p>
      <w:pPr>
        <w:jc w:val="both"/>
        <w:ind w:firstLine="1505"/>
        <w:spacing w:after="0" w:line="250" w:lineRule="auto"/>
        <w:tabs>
          <w:tab w:leader="none" w:pos="2036" w:val="left"/>
        </w:tabs>
        <w:numPr>
          <w:ilvl w:val="1"/>
          <w:numId w:val="15"/>
        </w:numPr>
        <w:rPr>
          <w:rFonts w:ascii="Arial" w:cs="Arial" w:eastAsia="Arial" w:hAnsi="Arial"/>
          <w:sz w:val="16"/>
          <w:szCs w:val="16"/>
          <w:color w:val="auto"/>
        </w:rPr>
      </w:pPr>
      <w:r>
        <w:rPr>
          <w:rFonts w:ascii="Arial" w:cs="Arial" w:eastAsia="Arial" w:hAnsi="Arial"/>
          <w:sz w:val="16"/>
          <w:szCs w:val="16"/>
          <w:b w:val="1"/>
          <w:bCs w:val="1"/>
          <w:color w:val="auto"/>
        </w:rPr>
        <w:t>Responsibility for Taxes</w:t>
      </w:r>
      <w:r>
        <w:rPr>
          <w:rFonts w:ascii="Arial" w:cs="Arial" w:eastAsia="Arial" w:hAnsi="Arial"/>
          <w:sz w:val="16"/>
          <w:szCs w:val="16"/>
          <w:color w:val="auto"/>
        </w:rPr>
        <w:t>. Participant shall bear all expense of, and be solely responsible for, any tax and/or social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obligations and requirements in connection with the Restricted Stock Units, including, without limitation, (i) all federal, state, and local taxes or other tax-related items related to Participant’s participation in the Plan and legally applicable or deemed legally applicable to Participant, (ii) Participant’s and, to the extent required by the Company, the Company’s fringe benefit tax liability, if any, associated with the grant, vesting, or settlement of the Restricted Stock Units or sale of Shares, and (iii) any other Company taxes the responsibility for which Participant has, or has agreed to bear, with respect to the Restricted Stock Units (or settlement thereof or issuance of Shares thereunder) (collectively, the “</w:t>
      </w:r>
      <w:r>
        <w:rPr>
          <w:rFonts w:ascii="Arial" w:cs="Arial" w:eastAsia="Arial" w:hAnsi="Arial"/>
          <w:sz w:val="16"/>
          <w:szCs w:val="16"/>
          <w:b w:val="1"/>
          <w:bCs w:val="1"/>
          <w:color w:val="auto"/>
        </w:rPr>
        <w:t>Tax Obligations</w:t>
      </w:r>
      <w:r>
        <w:rPr>
          <w:rFonts w:ascii="Arial" w:cs="Arial" w:eastAsia="Arial" w:hAnsi="Arial"/>
          <w:sz w:val="16"/>
          <w:szCs w:val="16"/>
          <w:color w:val="auto"/>
        </w:rPr>
        <w:t>”). Participant further acknowledges that the Company (A) makes no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no commitment to and is under no obligation to structure the terms of the grant or any aspect of the Restricted Stock Units to reduce or eliminate Participant’s liability for Tax Obligations or achieve any particular tax result.</w:t>
      </w:r>
    </w:p>
    <w:p>
      <w:pPr>
        <w:spacing w:after="0" w:line="81" w:lineRule="exact"/>
        <w:rPr>
          <w:rFonts w:ascii="Arial" w:cs="Arial" w:eastAsia="Arial" w:hAnsi="Arial"/>
          <w:sz w:val="16"/>
          <w:szCs w:val="16"/>
          <w:color w:val="auto"/>
        </w:rPr>
      </w:pPr>
    </w:p>
    <w:p>
      <w:pPr>
        <w:jc w:val="both"/>
        <w:ind w:firstLine="1505"/>
        <w:spacing w:after="0" w:line="256" w:lineRule="auto"/>
        <w:tabs>
          <w:tab w:leader="none" w:pos="2036" w:val="left"/>
        </w:tabs>
        <w:numPr>
          <w:ilvl w:val="1"/>
          <w:numId w:val="15"/>
        </w:numPr>
        <w:rPr>
          <w:rFonts w:ascii="Arial" w:cs="Arial" w:eastAsia="Arial" w:hAnsi="Arial"/>
          <w:sz w:val="16"/>
          <w:szCs w:val="16"/>
          <w:color w:val="auto"/>
        </w:rPr>
      </w:pPr>
      <w:r>
        <w:rPr>
          <w:rFonts w:ascii="Arial" w:cs="Arial" w:eastAsia="Arial" w:hAnsi="Arial"/>
          <w:sz w:val="16"/>
          <w:szCs w:val="16"/>
          <w:b w:val="1"/>
          <w:bCs w:val="1"/>
          <w:color w:val="auto"/>
        </w:rPr>
        <w:t>Tax Consequences</w:t>
      </w:r>
      <w:r>
        <w:rPr>
          <w:rFonts w:ascii="Arial" w:cs="Arial" w:eastAsia="Arial" w:hAnsi="Arial"/>
          <w:sz w:val="16"/>
          <w:szCs w:val="16"/>
          <w:color w:val="auto"/>
        </w:rPr>
        <w:t>. Participant has reviewed with his or her own tax advisers the U.S. federal, state, local and non-U.S. tax</w:t>
      </w:r>
      <w:r>
        <w:rPr>
          <w:rFonts w:ascii="Arial" w:cs="Arial" w:eastAsia="Arial" w:hAnsi="Arial"/>
          <w:sz w:val="16"/>
          <w:szCs w:val="16"/>
          <w:b w:val="1"/>
          <w:bCs w:val="1"/>
          <w:color w:val="auto"/>
        </w:rPr>
        <w:t xml:space="preserve"> </w:t>
      </w:r>
      <w:r>
        <w:rPr>
          <w:rFonts w:ascii="Arial" w:cs="Arial" w:eastAsia="Arial" w:hAnsi="Arial"/>
          <w:sz w:val="16"/>
          <w:szCs w:val="16"/>
          <w:color w:val="auto"/>
        </w:rPr>
        <w:t>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71" w:lineRule="exact"/>
        <w:rPr>
          <w:rFonts w:ascii="Arial" w:cs="Arial" w:eastAsia="Arial" w:hAnsi="Arial"/>
          <w:sz w:val="16"/>
          <w:szCs w:val="16"/>
          <w:color w:val="auto"/>
        </w:rPr>
      </w:pPr>
    </w:p>
    <w:p>
      <w:pPr>
        <w:jc w:val="both"/>
        <w:ind w:firstLine="757"/>
        <w:spacing w:after="0" w:line="256" w:lineRule="auto"/>
        <w:tabs>
          <w:tab w:leader="none" w:pos="1018"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Rights as Stockholder</w:t>
      </w:r>
      <w:r>
        <w:rPr>
          <w:rFonts w:ascii="Arial" w:cs="Arial" w:eastAsia="Arial" w:hAnsi="Arial"/>
          <w:sz w:val="16"/>
          <w:szCs w:val="16"/>
          <w:color w:val="auto"/>
        </w:rPr>
        <w:t>. Neither Participant nor any person claiming under or through Participant will have any of the rights or privileges of a</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71" w:lineRule="exact"/>
        <w:rPr>
          <w:rFonts w:ascii="Arial" w:cs="Arial" w:eastAsia="Arial" w:hAnsi="Arial"/>
          <w:sz w:val="16"/>
          <w:szCs w:val="16"/>
          <w:b w:val="1"/>
          <w:bCs w:val="1"/>
          <w:color w:val="auto"/>
        </w:rPr>
      </w:pPr>
    </w:p>
    <w:p>
      <w:pPr>
        <w:jc w:val="both"/>
        <w:ind w:firstLine="757"/>
        <w:spacing w:after="0" w:line="254" w:lineRule="auto"/>
        <w:tabs>
          <w:tab w:leader="none" w:pos="1018"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No Guarantee of Continued Service</w:t>
      </w:r>
      <w:r>
        <w:rPr>
          <w:rFonts w:ascii="Arial" w:cs="Arial" w:eastAsia="Arial" w:hAnsi="Arial"/>
          <w:sz w:val="16"/>
          <w:szCs w:val="16"/>
          <w:color w:val="auto"/>
        </w:rPr>
        <w:t>. PARTICIPANT ACKNOWLEDGES AND AGREES THAT THE VESTING OF THE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UNITS PURSUANT TO THE VESTING SCHEDULE HEREOF IS EARNED ONLY BY CONTINUING AS A SERVICE PROVIDER. PARTICIPANT FURTHER ACKNOWLEDGES AND AGREES THAT THIS AWARD AGREEMENT, THE TRANSACTIONS CONTEMPLATED HEREUNDER AND THE VESTING SCHEDULE SET FORTH HEREIN SHALL NOT BE INTERPRETED AS FORMING OR AMENDING A SERVICE CONTRACT AND DO NOT CONSTITUTE AN EXPRESS OR IMPLIED PROMISE OF CONTINUED ENGAGEMENT AS A SERVICE PROVIDER FOR THE VESTING PERIOD, FOR ANY PERIOD, OR AT ALL.</w:t>
      </w:r>
    </w:p>
    <w:p>
      <w:pPr>
        <w:spacing w:after="0" w:line="73" w:lineRule="exact"/>
        <w:rPr>
          <w:rFonts w:ascii="Arial" w:cs="Arial" w:eastAsia="Arial" w:hAnsi="Arial"/>
          <w:sz w:val="16"/>
          <w:szCs w:val="16"/>
          <w:b w:val="1"/>
          <w:bCs w:val="1"/>
          <w:color w:val="auto"/>
        </w:rPr>
      </w:pPr>
    </w:p>
    <w:p>
      <w:pPr>
        <w:jc w:val="both"/>
        <w:ind w:firstLine="757"/>
        <w:spacing w:after="0" w:line="256" w:lineRule="auto"/>
        <w:tabs>
          <w:tab w:leader="none" w:pos="1018"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Grant is Not Transferable</w:t>
      </w:r>
      <w:r>
        <w:rPr>
          <w:rFonts w:ascii="Arial" w:cs="Arial" w:eastAsia="Arial" w:hAnsi="Arial"/>
          <w:sz w:val="16"/>
          <w:szCs w:val="16"/>
          <w:color w:val="auto"/>
        </w:rPr>
        <w:t>. Except to the limited extent provided in Section 6, this Award and the rights and privileges conferred hereby will</w:t>
      </w:r>
      <w:r>
        <w:rPr>
          <w:rFonts w:ascii="Arial" w:cs="Arial" w:eastAsia="Arial" w:hAnsi="Arial"/>
          <w:sz w:val="16"/>
          <w:szCs w:val="16"/>
          <w:b w:val="1"/>
          <w:bCs w:val="1"/>
          <w:color w:val="auto"/>
        </w:rPr>
        <w:t xml:space="preserve"> </w:t>
      </w:r>
      <w:r>
        <w:rPr>
          <w:rFonts w:ascii="Arial" w:cs="Arial" w:eastAsia="Arial" w:hAnsi="Arial"/>
          <w:sz w:val="16"/>
          <w:szCs w:val="16"/>
          <w:color w:val="auto"/>
        </w:rPr>
        <w:t>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71" w:lineRule="exact"/>
        <w:rPr>
          <w:rFonts w:ascii="Arial" w:cs="Arial" w:eastAsia="Arial" w:hAnsi="Arial"/>
          <w:sz w:val="16"/>
          <w:szCs w:val="16"/>
          <w:b w:val="1"/>
          <w:bCs w:val="1"/>
          <w:color w:val="auto"/>
        </w:rPr>
      </w:pPr>
    </w:p>
    <w:p>
      <w:pPr>
        <w:ind w:left="1020" w:hanging="263"/>
        <w:spacing w:after="0"/>
        <w:tabs>
          <w:tab w:leader="none" w:pos="102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Grant</w:t>
      </w:r>
      <w:r>
        <w:rPr>
          <w:rFonts w:ascii="Arial" w:cs="Arial" w:eastAsia="Arial" w:hAnsi="Arial"/>
          <w:sz w:val="16"/>
          <w:szCs w:val="16"/>
          <w:color w:val="auto"/>
        </w:rPr>
        <w:t>. In accepting this Award of Restricted Stock Units, Participant acknowledges, understands and agrees that:</w:t>
      </w:r>
    </w:p>
    <w:p>
      <w:pPr>
        <w:spacing w:after="0" w:line="113" w:lineRule="exact"/>
        <w:rPr>
          <w:rFonts w:ascii="Arial" w:cs="Arial" w:eastAsia="Arial" w:hAnsi="Arial"/>
          <w:sz w:val="16"/>
          <w:szCs w:val="16"/>
          <w:b w:val="1"/>
          <w:bCs w:val="1"/>
          <w:color w:val="auto"/>
        </w:rPr>
      </w:pPr>
    </w:p>
    <w:p>
      <w:pPr>
        <w:jc w:val="both"/>
        <w:ind w:firstLine="1505"/>
        <w:spacing w:after="0" w:line="275" w:lineRule="auto"/>
        <w:tabs>
          <w:tab w:leader="none" w:pos="2036"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253" w:lineRule="exact"/>
        <w:rPr>
          <w:rFonts w:ascii="Arial" w:cs="Arial" w:eastAsia="Arial" w:hAnsi="Arial"/>
          <w:sz w:val="16"/>
          <w:szCs w:val="16"/>
          <w:color w:val="auto"/>
        </w:rPr>
      </w:pPr>
    </w:p>
    <w:p>
      <w:pPr>
        <w:ind w:left="2040" w:hanging="535"/>
        <w:spacing w:after="0"/>
        <w:tabs>
          <w:tab w:leader="none" w:pos="20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decisions with respect to future Restricted Stock Units or other grants, if any, will be at the sole discretion of the</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Administrator;</w:t>
      </w:r>
    </w:p>
    <w:p>
      <w:pPr>
        <w:spacing w:after="0" w:line="97" w:lineRule="exact"/>
        <w:rPr>
          <w:rFonts w:ascii="Arial" w:cs="Arial" w:eastAsia="Arial" w:hAnsi="Arial"/>
          <w:sz w:val="16"/>
          <w:szCs w:val="16"/>
          <w:color w:val="auto"/>
        </w:rPr>
      </w:pPr>
    </w:p>
    <w:p>
      <w:pPr>
        <w:ind w:left="2040" w:hanging="535"/>
        <w:spacing w:after="0"/>
        <w:tabs>
          <w:tab w:leader="none" w:pos="20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Participant is voluntarily participating in the Plan;</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90" w:lineRule="exact"/>
        <w:rPr>
          <w:sz w:val="20"/>
          <w:szCs w:val="20"/>
          <w:color w:val="auto"/>
        </w:rPr>
      </w:pPr>
    </w:p>
    <w:p>
      <w:pPr>
        <w:ind w:left="2040" w:hanging="535"/>
        <w:spacing w:after="0"/>
        <w:tabs>
          <w:tab w:leader="none" w:pos="2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future value of the Shares underlying the Restricted Stock Units is unknown, indeterminable, and cannot be predicted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certainty;</w:t>
      </w:r>
    </w:p>
    <w:p>
      <w:pPr>
        <w:spacing w:after="0" w:line="97" w:lineRule="exact"/>
        <w:rPr>
          <w:sz w:val="20"/>
          <w:szCs w:val="20"/>
          <w:color w:val="auto"/>
        </w:rPr>
      </w:pPr>
    </w:p>
    <w:p>
      <w:pPr>
        <w:jc w:val="both"/>
        <w:ind w:firstLine="1505"/>
        <w:spacing w:after="0" w:line="253" w:lineRule="auto"/>
        <w:tabs>
          <w:tab w:leader="none" w:pos="2036" w:val="left"/>
        </w:tabs>
        <w:numPr>
          <w:ilvl w:val="1"/>
          <w:numId w:val="17"/>
        </w:numPr>
        <w:rPr>
          <w:rFonts w:ascii="Arial" w:cs="Arial" w:eastAsia="Arial" w:hAnsi="Arial"/>
          <w:sz w:val="16"/>
          <w:szCs w:val="16"/>
          <w:color w:val="auto"/>
        </w:rPr>
      </w:pPr>
      <w:r>
        <w:rPr>
          <w:rFonts w:ascii="Arial" w:cs="Arial" w:eastAsia="Arial" w:hAnsi="Arial"/>
          <w:sz w:val="16"/>
          <w:szCs w:val="16"/>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Applicable Laws).</w:t>
      </w:r>
    </w:p>
    <w:p>
      <w:pPr>
        <w:spacing w:after="0" w:line="73" w:lineRule="exact"/>
        <w:rPr>
          <w:rFonts w:ascii="Arial" w:cs="Arial" w:eastAsia="Arial" w:hAnsi="Arial"/>
          <w:sz w:val="16"/>
          <w:szCs w:val="16"/>
          <w:color w:val="auto"/>
        </w:rPr>
      </w:pPr>
    </w:p>
    <w:p>
      <w:pPr>
        <w:jc w:val="both"/>
        <w:ind w:firstLine="1505"/>
        <w:spacing w:after="0" w:line="266" w:lineRule="auto"/>
        <w:tabs>
          <w:tab w:leader="none" w:pos="2036" w:val="left"/>
        </w:tabs>
        <w:numPr>
          <w:ilvl w:val="1"/>
          <w:numId w:val="17"/>
        </w:numPr>
        <w:rPr>
          <w:rFonts w:ascii="Arial" w:cs="Arial" w:eastAsia="Arial" w:hAnsi="Arial"/>
          <w:sz w:val="16"/>
          <w:szCs w:val="16"/>
          <w:color w:val="auto"/>
        </w:rPr>
      </w:pPr>
      <w:r>
        <w:rPr>
          <w:rFonts w:ascii="Arial" w:cs="Arial" w:eastAsia="Arial" w:hAnsi="Arial"/>
          <w:sz w:val="16"/>
          <w:szCs w:val="16"/>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63" w:lineRule="exact"/>
        <w:rPr>
          <w:rFonts w:ascii="Arial" w:cs="Arial" w:eastAsia="Arial" w:hAnsi="Arial"/>
          <w:sz w:val="16"/>
          <w:szCs w:val="16"/>
          <w:color w:val="auto"/>
        </w:rPr>
      </w:pPr>
    </w:p>
    <w:p>
      <w:pPr>
        <w:ind w:left="2040" w:hanging="535"/>
        <w:spacing w:after="0"/>
        <w:tabs>
          <w:tab w:leader="none" w:pos="20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following provisions apply only if Participant is providing services outside the United States:</w:t>
      </w:r>
    </w:p>
    <w:p>
      <w:pPr>
        <w:spacing w:after="0" w:line="113" w:lineRule="exact"/>
        <w:rPr>
          <w:rFonts w:ascii="Arial" w:cs="Arial" w:eastAsia="Arial" w:hAnsi="Arial"/>
          <w:sz w:val="16"/>
          <w:szCs w:val="16"/>
          <w:color w:val="auto"/>
        </w:rPr>
      </w:pPr>
    </w:p>
    <w:p>
      <w:pPr>
        <w:ind w:right="20" w:firstLine="2254"/>
        <w:spacing w:after="0" w:line="286" w:lineRule="auto"/>
        <w:tabs>
          <w:tab w:leader="none" w:pos="2546"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Restricted Stock Units and the Shares subject to the Restricted Stock Units, and the income from and value of same, are not part of normal or expected compensation for any purpose;</w:t>
      </w:r>
    </w:p>
    <w:p>
      <w:pPr>
        <w:spacing w:after="0" w:line="47" w:lineRule="exact"/>
        <w:rPr>
          <w:rFonts w:ascii="Arial" w:cs="Arial" w:eastAsia="Arial" w:hAnsi="Arial"/>
          <w:sz w:val="16"/>
          <w:szCs w:val="16"/>
          <w:color w:val="auto"/>
        </w:rPr>
      </w:pPr>
    </w:p>
    <w:p>
      <w:pPr>
        <w:jc w:val="both"/>
        <w:ind w:firstLine="2254"/>
        <w:spacing w:after="0" w:line="266" w:lineRule="auto"/>
        <w:tabs>
          <w:tab w:leader="none" w:pos="2546"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Company shall not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63" w:lineRule="exact"/>
        <w:rPr>
          <w:rFonts w:ascii="Arial" w:cs="Arial" w:eastAsia="Arial" w:hAnsi="Arial"/>
          <w:sz w:val="16"/>
          <w:szCs w:val="16"/>
          <w:color w:val="auto"/>
        </w:rPr>
      </w:pPr>
    </w:p>
    <w:p>
      <w:pPr>
        <w:jc w:val="both"/>
        <w:ind w:firstLine="2254"/>
        <w:spacing w:after="0" w:line="254" w:lineRule="auto"/>
        <w:tabs>
          <w:tab w:leader="none" w:pos="2546" w:val="left"/>
        </w:tabs>
        <w:numPr>
          <w:ilvl w:val="2"/>
          <w:numId w:val="17"/>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Restricted Stock Units resulting from the termination of Participant’s status as a Service Provider (for any reason whatsoever), and in consideration of the grant of the Restricted Stock Units to which Participant is otherwise not entitled, Participant irrevocably agrees never to institute any claim against the Company, waives his or her ability, if any, to bring any such claim, and releases the Company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73" w:lineRule="exact"/>
        <w:rPr>
          <w:rFonts w:ascii="Arial" w:cs="Arial" w:eastAsia="Arial" w:hAnsi="Arial"/>
          <w:sz w:val="16"/>
          <w:szCs w:val="16"/>
          <w:color w:val="auto"/>
        </w:rPr>
      </w:pPr>
    </w:p>
    <w:p>
      <w:pPr>
        <w:ind w:firstLine="757"/>
        <w:spacing w:after="0" w:line="286" w:lineRule="auto"/>
        <w:tabs>
          <w:tab w:leader="none" w:pos="1018"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Restrictive Covenants</w:t>
      </w:r>
      <w:r>
        <w:rPr>
          <w:rFonts w:ascii="Arial" w:cs="Arial" w:eastAsia="Arial" w:hAnsi="Arial"/>
          <w:sz w:val="16"/>
          <w:szCs w:val="16"/>
          <w:color w:val="auto"/>
        </w:rPr>
        <w:t>. In consideration of this grant of Restricted Stock Units, Participant agrees to the restrictive covenants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Appendix 2 to this Award Agreement, the terms of which are incorporated by reference.</w:t>
      </w:r>
    </w:p>
    <w:p>
      <w:pPr>
        <w:spacing w:after="0" w:line="47" w:lineRule="exact"/>
        <w:rPr>
          <w:rFonts w:ascii="Arial" w:cs="Arial" w:eastAsia="Arial" w:hAnsi="Arial"/>
          <w:sz w:val="16"/>
          <w:szCs w:val="16"/>
          <w:b w:val="1"/>
          <w:bCs w:val="1"/>
          <w:color w:val="auto"/>
        </w:rPr>
      </w:pPr>
    </w:p>
    <w:p>
      <w:pPr>
        <w:jc w:val="both"/>
        <w:ind w:firstLine="757"/>
        <w:spacing w:after="0" w:line="259" w:lineRule="auto"/>
        <w:tabs>
          <w:tab w:leader="none" w:pos="1018"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No Advice Regarding Grant</w:t>
      </w:r>
      <w:r>
        <w:rPr>
          <w:rFonts w:ascii="Arial" w:cs="Arial" w:eastAsia="Arial" w:hAnsi="Arial"/>
          <w:sz w:val="16"/>
          <w:szCs w:val="16"/>
          <w:color w:val="auto"/>
        </w:rPr>
        <w:t>. The Company is not providing any tax, legal or financial advice, nor is the Company making any</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spacing w:after="0" w:line="71" w:lineRule="exact"/>
        <w:rPr>
          <w:rFonts w:ascii="Arial" w:cs="Arial" w:eastAsia="Arial" w:hAnsi="Arial"/>
          <w:sz w:val="16"/>
          <w:szCs w:val="16"/>
          <w:b w:val="1"/>
          <w:bCs w:val="1"/>
          <w:color w:val="auto"/>
        </w:rPr>
      </w:pPr>
    </w:p>
    <w:p>
      <w:pPr>
        <w:jc w:val="both"/>
        <w:ind w:firstLine="757"/>
        <w:spacing w:after="0" w:line="270" w:lineRule="auto"/>
        <w:tabs>
          <w:tab w:leader="none" w:pos="1018"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Data Privacy. Participant hereby explicitly and unambiguously consents to the collection, use and transfer, in electronic or other form, of Participant’s personal data as described in this Award Agreement and any other Restricted Stock Unit grant materials by the Company for the exclusive purpose of implementing, administering and managing Participant’s participation in the Plan.</w:t>
      </w:r>
    </w:p>
    <w:p>
      <w:pPr>
        <w:spacing w:after="0" w:line="54"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b w:val="1"/>
          <w:bCs w:val="1"/>
          <w:i w:val="1"/>
          <w:iCs w:val="1"/>
          <w:color w:val="auto"/>
        </w:rPr>
        <w:t>Participant understands that the Company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b w:val="1"/>
          <w:bCs w:val="1"/>
          <w:i w:val="1"/>
          <w:iCs w:val="1"/>
          <w:color w:val="auto"/>
        </w:rPr>
        <w:t>Participant understands that Data will be transferred to a third-party stock plan service provider,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the Company’s local human resources representative. Further, Participant understands that he or she is providing the consents herein on a purely voluntary basis. If Participant does not consent, or if Participant later seeks to revoke his or her consent, his or her status as a Service Provider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Company’s local human resources representative.</w:t>
      </w:r>
    </w:p>
    <w:p>
      <w:pPr>
        <w:spacing w:after="0" w:line="72" w:lineRule="exact"/>
        <w:rPr>
          <w:sz w:val="20"/>
          <w:szCs w:val="20"/>
          <w:color w:val="auto"/>
        </w:rPr>
      </w:pPr>
    </w:p>
    <w:p>
      <w:pPr>
        <w:jc w:val="both"/>
        <w:ind w:firstLine="757"/>
        <w:spacing w:after="0" w:line="266" w:lineRule="auto"/>
        <w:tabs>
          <w:tab w:leader="none" w:pos="1018"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Address for Notices</w:t>
      </w:r>
      <w:r>
        <w:rPr>
          <w:rFonts w:ascii="Arial" w:cs="Arial" w:eastAsia="Arial" w:hAnsi="Arial"/>
          <w:sz w:val="16"/>
          <w:szCs w:val="16"/>
          <w:color w:val="auto"/>
        </w:rPr>
        <w:t>. Any notice to be given to the Company under the terms of this Award Agreement will be addressed to the Company at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Paymentus Holdings, Inc., 11605 N. Community House Road, Suite 300, Charlotte, NC 28277, Attention: General Counsel, or at such other address as the Company may hereafter designate in writing.</w:t>
      </w:r>
    </w:p>
    <w:p>
      <w:pPr>
        <w:spacing w:after="0" w:line="63" w:lineRule="exact"/>
        <w:rPr>
          <w:rFonts w:ascii="Arial" w:cs="Arial" w:eastAsia="Arial" w:hAnsi="Arial"/>
          <w:sz w:val="16"/>
          <w:szCs w:val="16"/>
          <w:b w:val="1"/>
          <w:bCs w:val="1"/>
          <w:color w:val="auto"/>
        </w:rPr>
      </w:pPr>
    </w:p>
    <w:p>
      <w:pPr>
        <w:jc w:val="both"/>
        <w:ind w:firstLine="757"/>
        <w:spacing w:after="0" w:line="259" w:lineRule="auto"/>
        <w:tabs>
          <w:tab w:leader="none" w:pos="1018"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 and Assigns</w:t>
      </w:r>
      <w:r>
        <w:rPr>
          <w:rFonts w:ascii="Arial" w:cs="Arial" w:eastAsia="Arial" w:hAnsi="Arial"/>
          <w:sz w:val="16"/>
          <w:szCs w:val="16"/>
          <w:color w:val="auto"/>
        </w:rPr>
        <w:t>. The Company may assign any of its rights under this Award Agreement to single or multiple assignees, and this</w:t>
      </w:r>
      <w:r>
        <w:rPr>
          <w:rFonts w:ascii="Arial" w:cs="Arial" w:eastAsia="Arial" w:hAnsi="Arial"/>
          <w:sz w:val="16"/>
          <w:szCs w:val="16"/>
          <w:b w:val="1"/>
          <w:bCs w:val="1"/>
          <w:color w:val="auto"/>
        </w:rPr>
        <w:t xml:space="preserve"> </w:t>
      </w:r>
      <w:r>
        <w:rPr>
          <w:rFonts w:ascii="Arial" w:cs="Arial" w:eastAsia="Arial" w:hAnsi="Arial"/>
          <w:sz w:val="16"/>
          <w:szCs w:val="16"/>
          <w:color w:val="auto"/>
        </w:rPr>
        <w:t>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69" w:lineRule="exact"/>
        <w:rPr>
          <w:rFonts w:ascii="Arial" w:cs="Arial" w:eastAsia="Arial" w:hAnsi="Arial"/>
          <w:sz w:val="16"/>
          <w:szCs w:val="16"/>
          <w:b w:val="1"/>
          <w:bCs w:val="1"/>
          <w:color w:val="auto"/>
        </w:rPr>
      </w:pPr>
    </w:p>
    <w:p>
      <w:pPr>
        <w:jc w:val="both"/>
        <w:ind w:firstLine="757"/>
        <w:spacing w:after="0" w:line="251" w:lineRule="auto"/>
        <w:tabs>
          <w:tab w:leader="none" w:pos="1018"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Conditions to Issuance of Stock</w:t>
      </w:r>
      <w:r>
        <w:rPr>
          <w:rFonts w:ascii="Arial" w:cs="Arial" w:eastAsia="Arial" w:hAnsi="Arial"/>
          <w:sz w:val="16"/>
          <w:szCs w:val="16"/>
          <w:color w:val="auto"/>
        </w:rPr>
        <w:t>. If at any time the Company will determine, in its discretion, that the listing,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77" w:lineRule="exact"/>
        <w:rPr>
          <w:rFonts w:ascii="Arial" w:cs="Arial" w:eastAsia="Arial" w:hAnsi="Arial"/>
          <w:sz w:val="16"/>
          <w:szCs w:val="16"/>
          <w:b w:val="1"/>
          <w:bCs w:val="1"/>
          <w:color w:val="auto"/>
        </w:rPr>
      </w:pPr>
    </w:p>
    <w:p>
      <w:pPr>
        <w:ind w:left="1020" w:hanging="263"/>
        <w:spacing w:after="0"/>
        <w:tabs>
          <w:tab w:leader="none" w:pos="10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Language</w:t>
      </w:r>
      <w:r>
        <w:rPr>
          <w:rFonts w:ascii="Arial" w:cs="Arial" w:eastAsia="Arial" w:hAnsi="Arial"/>
          <w:sz w:val="16"/>
          <w:szCs w:val="16"/>
          <w:color w:val="auto"/>
        </w:rPr>
        <w:t>. Participant acknowledges that Participant is sufficiently proficient in the</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English language, or has consulted with an adviser who is sufficiently proficient in the English language, so as to allow Participant to understand the terms and conditions of this Award Agreement. If Participant has received this Award Agreement or any other document related to the Plan translated into a language other than the English language and if the meaning of the translated version is different than the English version, the English language version will control.</w:t>
      </w:r>
    </w:p>
    <w:p>
      <w:pPr>
        <w:spacing w:after="0" w:line="264" w:lineRule="exact"/>
        <w:rPr>
          <w:sz w:val="20"/>
          <w:szCs w:val="20"/>
          <w:color w:val="auto"/>
        </w:rPr>
      </w:pPr>
    </w:p>
    <w:p>
      <w:pPr>
        <w:jc w:val="both"/>
        <w:ind w:firstLine="757"/>
        <w:spacing w:after="0" w:line="254" w:lineRule="auto"/>
        <w:tabs>
          <w:tab w:leader="none" w:pos="1018"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Interpretation</w:t>
      </w:r>
      <w:r>
        <w:rPr>
          <w:rFonts w:ascii="Arial" w:cs="Arial" w:eastAsia="Arial" w:hAnsi="Arial"/>
          <w:sz w:val="16"/>
          <w:szCs w:val="16"/>
          <w:color w:val="auto"/>
        </w:rPr>
        <w:t>. The Administrator will have the power to interpret the Plan and this Award Agreement and to adopt such rules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73" w:lineRule="exact"/>
        <w:rPr>
          <w:rFonts w:ascii="Arial" w:cs="Arial" w:eastAsia="Arial" w:hAnsi="Arial"/>
          <w:sz w:val="16"/>
          <w:szCs w:val="16"/>
          <w:b w:val="1"/>
          <w:bCs w:val="1"/>
          <w:color w:val="auto"/>
        </w:rPr>
      </w:pPr>
    </w:p>
    <w:p>
      <w:pPr>
        <w:jc w:val="both"/>
        <w:ind w:firstLine="757"/>
        <w:spacing w:after="0" w:line="259" w:lineRule="auto"/>
        <w:tabs>
          <w:tab w:leader="none" w:pos="1018"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Electronic Delivery and Acceptance</w:t>
      </w:r>
      <w:r>
        <w:rPr>
          <w:rFonts w:ascii="Arial" w:cs="Arial" w:eastAsia="Arial" w:hAnsi="Arial"/>
          <w:sz w:val="16"/>
          <w:szCs w:val="16"/>
          <w:color w:val="auto"/>
        </w:rPr>
        <w:t>. The Company may, in its sole discretion, decide to deliver any documents related to the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69" w:lineRule="exact"/>
        <w:rPr>
          <w:rFonts w:ascii="Arial" w:cs="Arial" w:eastAsia="Arial" w:hAnsi="Arial"/>
          <w:sz w:val="16"/>
          <w:szCs w:val="16"/>
          <w:b w:val="1"/>
          <w:bCs w:val="1"/>
          <w:color w:val="auto"/>
        </w:rPr>
      </w:pPr>
    </w:p>
    <w:p>
      <w:pPr>
        <w:ind w:left="1020" w:hanging="263"/>
        <w:spacing w:after="0"/>
        <w:tabs>
          <w:tab w:leader="none" w:pos="102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Captions</w:t>
      </w:r>
      <w:r>
        <w:rPr>
          <w:rFonts w:ascii="Arial" w:cs="Arial" w:eastAsia="Arial" w:hAnsi="Arial"/>
          <w:sz w:val="16"/>
          <w:szCs w:val="16"/>
          <w:color w:val="auto"/>
        </w:rPr>
        <w:t>. Captions provided herein are for convenience only and are not to serve as a basis for interpretation or construction of this Award</w:t>
      </w:r>
    </w:p>
    <w:p>
      <w:pPr>
        <w:spacing w:after="0" w:line="2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Agreement.</w:t>
      </w:r>
    </w:p>
    <w:p>
      <w:pPr>
        <w:spacing w:after="0" w:line="97" w:lineRule="exact"/>
        <w:rPr>
          <w:rFonts w:ascii="Arial" w:cs="Arial" w:eastAsia="Arial" w:hAnsi="Arial"/>
          <w:sz w:val="16"/>
          <w:szCs w:val="16"/>
          <w:b w:val="1"/>
          <w:bCs w:val="1"/>
          <w:color w:val="auto"/>
        </w:rPr>
      </w:pPr>
    </w:p>
    <w:p>
      <w:pPr>
        <w:jc w:val="both"/>
        <w:ind w:firstLine="757"/>
        <w:spacing w:after="0" w:line="266" w:lineRule="auto"/>
        <w:tabs>
          <w:tab w:leader="none" w:pos="1018"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Suspension or Termination of the Plan</w:t>
      </w:r>
      <w:r>
        <w:rPr>
          <w:rFonts w:ascii="Arial" w:cs="Arial" w:eastAsia="Arial" w:hAnsi="Arial"/>
          <w:sz w:val="16"/>
          <w:szCs w:val="16"/>
          <w:color w:val="auto"/>
        </w:rPr>
        <w:t>. By accepting this Award, Participant expressly warrants that he or she has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90" w:lineRule="exact"/>
        <w:rPr>
          <w:sz w:val="20"/>
          <w:szCs w:val="20"/>
          <w:color w:val="auto"/>
        </w:rPr>
      </w:pPr>
    </w:p>
    <w:p>
      <w:pPr>
        <w:jc w:val="both"/>
        <w:ind w:left="-20" w:firstLine="757"/>
        <w:spacing w:after="0" w:line="255" w:lineRule="auto"/>
        <w:tabs>
          <w:tab w:leader="none" w:pos="998"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Country Addendum</w:t>
      </w:r>
      <w:r>
        <w:rPr>
          <w:rFonts w:ascii="Arial" w:cs="Arial" w:eastAsia="Arial" w:hAnsi="Arial"/>
          <w:sz w:val="16"/>
          <w:szCs w:val="16"/>
          <w:color w:val="auto"/>
        </w:rPr>
        <w:t>. Notwithstanding any provisions in this Award Agreement, the Restricted Stock Unit grant shall be subject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terms and conditions set forth in the Country Addendum (if any) for any country whose laws are applicable to Participant and this Award of Restricted Stock Units (as determined by the Administrator in its sole discretion). Moreover, if Participant relocates to one of the countries included in the Country Addendum, the additional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264" w:lineRule="exact"/>
        <w:rPr>
          <w:rFonts w:ascii="Arial" w:cs="Arial" w:eastAsia="Arial" w:hAnsi="Arial"/>
          <w:sz w:val="16"/>
          <w:szCs w:val="16"/>
          <w:b w:val="1"/>
          <w:bCs w:val="1"/>
          <w:color w:val="auto"/>
        </w:rPr>
      </w:pPr>
    </w:p>
    <w:p>
      <w:pPr>
        <w:jc w:val="both"/>
        <w:ind w:left="-20" w:firstLine="757"/>
        <w:spacing w:after="0" w:line="254" w:lineRule="auto"/>
        <w:tabs>
          <w:tab w:leader="none" w:pos="998"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Modifications to the Award Agreement</w:t>
      </w:r>
      <w:r>
        <w:rPr>
          <w:rFonts w:ascii="Arial" w:cs="Arial" w:eastAsia="Arial" w:hAnsi="Arial"/>
          <w:sz w:val="16"/>
          <w:szCs w:val="16"/>
          <w:color w:val="auto"/>
        </w:rPr>
        <w:t>. This Award Agreement constitutes the entire understanding of the parties on the subjects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73" w:lineRule="exact"/>
        <w:rPr>
          <w:rFonts w:ascii="Arial" w:cs="Arial" w:eastAsia="Arial" w:hAnsi="Arial"/>
          <w:sz w:val="16"/>
          <w:szCs w:val="16"/>
          <w:b w:val="1"/>
          <w:bCs w:val="1"/>
          <w:color w:val="auto"/>
        </w:rPr>
      </w:pPr>
    </w:p>
    <w:p>
      <w:pPr>
        <w:jc w:val="both"/>
        <w:ind w:left="-20" w:firstLine="757"/>
        <w:spacing w:after="0" w:line="259" w:lineRule="auto"/>
        <w:tabs>
          <w:tab w:leader="none" w:pos="998"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No Waiver</w:t>
      </w:r>
      <w:r>
        <w:rPr>
          <w:rFonts w:ascii="Arial" w:cs="Arial" w:eastAsia="Arial" w:hAnsi="Arial"/>
          <w:sz w:val="16"/>
          <w:szCs w:val="16"/>
          <w:color w:val="auto"/>
        </w:rPr>
        <w:t>. Either party’s failure to enforce any provision or provisions of this Award Agreement shall not in any way be construed as a waiver</w:t>
      </w:r>
      <w:r>
        <w:rPr>
          <w:rFonts w:ascii="Arial" w:cs="Arial" w:eastAsia="Arial" w:hAnsi="Arial"/>
          <w:sz w:val="16"/>
          <w:szCs w:val="16"/>
          <w:b w:val="1"/>
          <w:bCs w:val="1"/>
          <w:color w:val="auto"/>
        </w:rPr>
        <w:t xml:space="preserve"> </w:t>
      </w:r>
      <w:r>
        <w:rPr>
          <w:rFonts w:ascii="Arial" w:cs="Arial" w:eastAsia="Arial" w:hAnsi="Arial"/>
          <w:sz w:val="16"/>
          <w:szCs w:val="16"/>
          <w:color w:val="auto"/>
        </w:rPr>
        <w:t>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69" w:lineRule="exact"/>
        <w:rPr>
          <w:rFonts w:ascii="Arial" w:cs="Arial" w:eastAsia="Arial" w:hAnsi="Arial"/>
          <w:sz w:val="16"/>
          <w:szCs w:val="16"/>
          <w:b w:val="1"/>
          <w:bCs w:val="1"/>
          <w:color w:val="auto"/>
        </w:rPr>
      </w:pPr>
    </w:p>
    <w:p>
      <w:pPr>
        <w:jc w:val="both"/>
        <w:ind w:left="-20" w:firstLine="757"/>
        <w:spacing w:after="0" w:line="251" w:lineRule="auto"/>
        <w:tabs>
          <w:tab w:leader="none" w:pos="998"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Insider Trading/Market Abuse Laws</w:t>
      </w:r>
      <w:r>
        <w:rPr>
          <w:rFonts w:ascii="Arial" w:cs="Arial" w:eastAsia="Arial" w:hAnsi="Arial"/>
          <w:sz w:val="16"/>
          <w:szCs w:val="16"/>
          <w:color w:val="auto"/>
        </w:rPr>
        <w:t>. Participant acknowledges that Participant may be subject to insider trading restrictions and/or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abuse laws based on the exchange on which the Shares are listed and in applicable jurisdictions including, but not limited to, the United States and Participant’s country of residence, which may affect Participant’s ability to acquire or sell Shares or rights to Shares (e.g., Restricted Stock Units) under the Plan during such time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Participant should keep in mind that third parties include employees of the Company. Any restrictions under these laws or regulations are separate from and in addition to any restrictions that may be imposed under any applicable insider trading policy of the Company. Participant is responsible for ensuring compliance with any applicable restrictions and should consult with his or her personal legal advisor on this matter.</w:t>
      </w:r>
    </w:p>
    <w:p>
      <w:pPr>
        <w:spacing w:after="0" w:line="77" w:lineRule="exact"/>
        <w:rPr>
          <w:rFonts w:ascii="Arial" w:cs="Arial" w:eastAsia="Arial" w:hAnsi="Arial"/>
          <w:sz w:val="16"/>
          <w:szCs w:val="16"/>
          <w:b w:val="1"/>
          <w:bCs w:val="1"/>
          <w:color w:val="auto"/>
        </w:rPr>
      </w:pPr>
    </w:p>
    <w:p>
      <w:pPr>
        <w:jc w:val="both"/>
        <w:ind w:left="-20" w:firstLine="757"/>
        <w:spacing w:after="0" w:line="256" w:lineRule="auto"/>
        <w:tabs>
          <w:tab w:leader="none" w:pos="998"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Venue; Severability</w:t>
      </w:r>
      <w:r>
        <w:rPr>
          <w:rFonts w:ascii="Arial" w:cs="Arial" w:eastAsia="Arial" w:hAnsi="Arial"/>
          <w:sz w:val="16"/>
          <w:szCs w:val="16"/>
          <w:color w:val="auto"/>
        </w:rPr>
        <w:t>. This Award Agreement and the Restricted Stock Units are governed by the internal substantive laws,</w:t>
      </w:r>
      <w:r>
        <w:rPr>
          <w:rFonts w:ascii="Arial" w:cs="Arial" w:eastAsia="Arial" w:hAnsi="Arial"/>
          <w:sz w:val="16"/>
          <w:szCs w:val="16"/>
          <w:b w:val="1"/>
          <w:bCs w:val="1"/>
          <w:color w:val="auto"/>
        </w:rPr>
        <w:t xml:space="preserve"> </w:t>
      </w:r>
      <w:r>
        <w:rPr>
          <w:rFonts w:ascii="Arial" w:cs="Arial" w:eastAsia="Arial" w:hAnsi="Arial"/>
          <w:sz w:val="16"/>
          <w:szCs w:val="16"/>
          <w:color w:val="auto"/>
        </w:rPr>
        <w:t>but not the choice of law rules, of the State of Delaware. For purposes of any action, lawsuit or other proceedings brought to enforce this Award Agreement, relating to it, or arising from it, the parties hereby submit to and consent to the sole and exclusive jurisdiction of the courts of the State of Delaware, and no other courts, where this grant is made and/or to be performed. In the event that any provision hereof becomes or is declared by a court of competent jurisdiction to be illegal, unenforceable or void, this Award Agreement shall continue in full force and effect.</w:t>
      </w:r>
    </w:p>
    <w:p>
      <w:pPr>
        <w:spacing w:after="0" w:line="71" w:lineRule="exact"/>
        <w:rPr>
          <w:rFonts w:ascii="Arial" w:cs="Arial" w:eastAsia="Arial" w:hAnsi="Arial"/>
          <w:sz w:val="16"/>
          <w:szCs w:val="16"/>
          <w:b w:val="1"/>
          <w:bCs w:val="1"/>
          <w:color w:val="auto"/>
        </w:rPr>
      </w:pPr>
    </w:p>
    <w:p>
      <w:pPr>
        <w:jc w:val="both"/>
        <w:ind w:left="-20" w:firstLine="757"/>
        <w:spacing w:after="0" w:line="254" w:lineRule="auto"/>
        <w:tabs>
          <w:tab w:leader="none" w:pos="998"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The Plan is incorporated herein by reference. The Plan and this Award Agreement (including the exhibits, appendices,</w:t>
      </w:r>
      <w:r>
        <w:rPr>
          <w:rFonts w:ascii="Arial" w:cs="Arial" w:eastAsia="Arial" w:hAnsi="Arial"/>
          <w:sz w:val="16"/>
          <w:szCs w:val="16"/>
          <w:b w:val="1"/>
          <w:bCs w:val="1"/>
          <w:color w:val="auto"/>
        </w:rPr>
        <w:t xml:space="preserve"> </w:t>
      </w:r>
      <w:r>
        <w:rPr>
          <w:rFonts w:ascii="Arial" w:cs="Arial" w:eastAsia="Arial" w:hAnsi="Arial"/>
          <w:sz w:val="16"/>
          <w:szCs w:val="16"/>
          <w:color w:val="auto"/>
        </w:rPr>
        <w:t>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Notwithstanding the foregoing, the restrictive covenants set forth in Appendix 2 do not supersede or in any way modify any other restrictive covenants applicable to Participant in any agreement with the Company or any Parent or Subsidiary of the Company.</w:t>
      </w:r>
    </w:p>
    <w:p>
      <w:pPr>
        <w:spacing w:after="0" w:line="73" w:lineRule="exact"/>
        <w:rPr>
          <w:rFonts w:ascii="Arial" w:cs="Arial" w:eastAsia="Arial" w:hAnsi="Arial"/>
          <w:sz w:val="16"/>
          <w:szCs w:val="16"/>
          <w:b w:val="1"/>
          <w:bCs w:val="1"/>
          <w:color w:val="auto"/>
        </w:rPr>
      </w:pPr>
    </w:p>
    <w:p>
      <w:pPr>
        <w:ind w:left="5060"/>
        <w:spacing w:after="0"/>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572135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APPENDIX 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PAYMENTUS HOLDINGS,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EQUITY INCENTIVE PLAN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COUNTRY ADDENDUM TO RESTRICTED STOCK UNIT AGREEMENT</w:t>
      </w:r>
    </w:p>
    <w:p>
      <w:pPr>
        <w:spacing w:after="0" w:line="11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Unless otherwise defined herein, capitalized terms used in this Country Addendum to Restricted Stock Unit Agreement (the “</w:t>
      </w:r>
      <w:r>
        <w:rPr>
          <w:rFonts w:ascii="Arial" w:cs="Arial" w:eastAsia="Arial" w:hAnsi="Arial"/>
          <w:sz w:val="16"/>
          <w:szCs w:val="16"/>
          <w:b w:val="1"/>
          <w:bCs w:val="1"/>
          <w:color w:val="auto"/>
        </w:rPr>
        <w:t>Country</w:t>
      </w:r>
      <w:r>
        <w:rPr>
          <w:rFonts w:ascii="Arial" w:cs="Arial" w:eastAsia="Arial" w:hAnsi="Arial"/>
          <w:sz w:val="16"/>
          <w:szCs w:val="16"/>
          <w:color w:val="auto"/>
        </w:rPr>
        <w:t xml:space="preserve"> </w:t>
      </w:r>
      <w:r>
        <w:rPr>
          <w:rFonts w:ascii="Arial" w:cs="Arial" w:eastAsia="Arial" w:hAnsi="Arial"/>
          <w:sz w:val="16"/>
          <w:szCs w:val="16"/>
          <w:b w:val="1"/>
          <w:bCs w:val="1"/>
          <w:color w:val="auto"/>
        </w:rPr>
        <w:t>Addendum</w:t>
      </w:r>
      <w:r>
        <w:rPr>
          <w:rFonts w:ascii="Arial" w:cs="Arial" w:eastAsia="Arial" w:hAnsi="Arial"/>
          <w:sz w:val="16"/>
          <w:szCs w:val="16"/>
          <w:color w:val="auto"/>
        </w:rPr>
        <w:t>”) will be ascribed the same defined meanings as set forth in the Restricted Stock Unit Agreement of which this Country Addendum forms a part</w:t>
      </w:r>
      <w:r>
        <w:rPr>
          <w:rFonts w:ascii="Arial" w:cs="Arial" w:eastAsia="Arial" w:hAnsi="Arial"/>
          <w:sz w:val="16"/>
          <w:szCs w:val="16"/>
          <w:b w:val="1"/>
          <w:bCs w:val="1"/>
          <w:color w:val="auto"/>
        </w:rPr>
        <w:t xml:space="preserve"> </w:t>
      </w:r>
      <w:r>
        <w:rPr>
          <w:rFonts w:ascii="Arial" w:cs="Arial" w:eastAsia="Arial" w:hAnsi="Arial"/>
          <w:sz w:val="16"/>
          <w:szCs w:val="16"/>
          <w:color w:val="auto"/>
        </w:rPr>
        <w:t>(or the Plan or other written agreement as specified in the Restricted Stock Unit Agreement).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1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This Country Addendum includes additional terms and conditions that govern the Award of Restricted Stock Units granted to Participant under the Plan to the extent Participant resides and/or works in one of the countries listed below. If Participant is a citizen or resident (or is considered as such for local law purposes) of a country other than the country in which Participant is currently residing and/or working, or if Participant transfers employment and/or residency to another country after the Award of Restricted Stock Units is granted, the Company, in its discretion, will determine to what extent the terms and conditions contained herein will apply to Participant.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1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 xml:space="preserve">This Country Addendum also includes information regarding securities laws, exchange controls and certain other issues of which Participant should be aware with respect to Participant’s participation in the Plan. The information is provided solely for Participant’s convenience and is based on the securities, exchange control and other Applicable Laws in effect in the respective countries as of </w:t>
      </w:r>
      <w:r>
        <w:rPr>
          <w:rFonts w:ascii="Arial" w:cs="Arial" w:eastAsia="Arial" w:hAnsi="Arial"/>
          <w:sz w:val="16"/>
          <w:szCs w:val="16"/>
          <w:b w:val="1"/>
          <w:bCs w:val="1"/>
          <w:color w:val="auto"/>
        </w:rPr>
        <w:t>April 2021</w:t>
      </w:r>
      <w:r>
        <w:rPr>
          <w:rFonts w:ascii="Arial" w:cs="Arial" w:eastAsia="Arial" w:hAnsi="Arial"/>
          <w:sz w:val="16"/>
          <w:szCs w:val="16"/>
          <w:color w:val="auto"/>
        </w:rPr>
        <w:t>.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p>
    <w:p>
      <w:pPr>
        <w:spacing w:after="0" w:line="7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6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Finally, if Participant is a citizen or resident (or is considered as such for local law purposes) of a country other than the one in which Participant currently is residing and/or working, or if Participant transfers residence and/or employment to another country after the grant of the Restricted Stock Units, the information in this Country Addendum may not apply to Participant in the same manner.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CANADA</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Settlement of Restricted Stock Units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discretion in Section 9.4 of the Plan and without prejudice to Section 7(b) of the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Unit Agreement, Restricted Stock Units will be settled in Shares only, not in cash.</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The following provision replaces the second paragraph of Sections 5 and 11(h) of the Restricted Stock Unit Agreement in its entirety:</w:t>
      </w:r>
    </w:p>
    <w:p>
      <w:pPr>
        <w:spacing w:after="0" w:line="11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For purposes of the Restricted Stock Units, Participant’s status as a Service Provider will be considered terminated (regardless of the reason for such termination) as of the date that is the earliest of: (i) the date of termination of Participant’s status as a Service Provider, (ii) the date on which Participant receives notice of termination of his or her status as a Service Provider, and (iii) the date on which Participant ceases to be providing services to the Company, the Company or any other Subsidiary or Parent of the Company, which date shall not be extended by any notice period or period of pay in lieu of such notice mandated under the terms of Participant’s service agreement, if any. The Administrator shall have the exclusive discretion to determine when Participant no longer is actively providing services for purposes of the Award.</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Language</w:t>
      </w:r>
      <w:r>
        <w:rPr>
          <w:rFonts w:ascii="Arial" w:cs="Arial" w:eastAsia="Arial" w:hAnsi="Arial"/>
          <w:sz w:val="16"/>
          <w:szCs w:val="16"/>
          <w:color w:val="auto"/>
        </w:rPr>
        <w:t>. The parties acknowledge that it is Participant’s express wish that the Restricted Stock Unit Agreement, as well as all documents, notices and</w:t>
      </w:r>
      <w:r>
        <w:rPr>
          <w:rFonts w:ascii="Arial" w:cs="Arial" w:eastAsia="Arial" w:hAnsi="Arial"/>
          <w:sz w:val="16"/>
          <w:szCs w:val="16"/>
          <w:b w:val="1"/>
          <w:bCs w:val="1"/>
          <w:color w:val="auto"/>
        </w:rPr>
        <w:t xml:space="preserve"> </w:t>
      </w:r>
      <w:r>
        <w:rPr>
          <w:rFonts w:ascii="Arial" w:cs="Arial" w:eastAsia="Arial" w:hAnsi="Arial"/>
          <w:sz w:val="16"/>
          <w:szCs w:val="16"/>
          <w:color w:val="auto"/>
        </w:rPr>
        <w:t>legal proceedings entered into, given or instituted pursuant hereto or relating directly or indirectly hereto, be drawn up in English.</w:t>
      </w:r>
    </w:p>
    <w:p>
      <w:pPr>
        <w:spacing w:after="0" w:line="5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Les parties reconnaissent que le participant souhaite expressément que le contrat d'attribution, ainsi que tous les documents, avis et procédures judiciaires conclus, donnés ou intentés en vertu des présentes ou s'y rapportant directement ou indirectement, soient rédigés en anglais.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Data Privacy</w:t>
      </w:r>
      <w:r>
        <w:rPr>
          <w:rFonts w:ascii="Arial" w:cs="Arial" w:eastAsia="Arial" w:hAnsi="Arial"/>
          <w:sz w:val="16"/>
          <w:szCs w:val="16"/>
          <w:color w:val="auto"/>
        </w:rPr>
        <w:t>. This provision supplements Section 14 of the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Participant hereby authorizes the Company, and any agents or representatives to (i) discuss with and obtain all relevant information from all personnel, professional or non-professional, involved in the administration and operation of the Plan, and (ii) disclose and discuss any and all information relevant to the Plan with their advisers. Participant further authorizes the Company and any agents or representatives to record such information and to keep such information in Participant’s file.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Securities Law Notification</w:t>
      </w:r>
      <w:r>
        <w:rPr>
          <w:rFonts w:ascii="Arial" w:cs="Arial" w:eastAsia="Arial" w:hAnsi="Arial"/>
          <w:sz w:val="16"/>
          <w:szCs w:val="16"/>
          <w:color w:val="auto"/>
        </w:rPr>
        <w:t>. Participant is permitted to sell Shares acquired under the Plan through the designated broker appointed under the Plan, if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the resale of Shares acquired under the Plan takes place outside Canada through the facilities of the exchange on which the Shares are then listed.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INDIA</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u w:val="single" w:color="auto"/>
          <w:color w:val="auto"/>
        </w:rPr>
        <w:t>Exchange Control Notification</w:t>
      </w:r>
      <w:r>
        <w:rPr>
          <w:rFonts w:ascii="Arial" w:cs="Arial" w:eastAsia="Arial" w:hAnsi="Arial"/>
          <w:sz w:val="16"/>
          <w:szCs w:val="16"/>
          <w:color w:val="auto"/>
        </w:rPr>
        <w:t>. Participant is required to repatriate to India, or cause to be repatriated, any proceeds from the sale of Shares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and any dividends received in relation to the Shares within such time as prescribed under applicable Indian exchange control laws as may be amended from time to time. Participant should obtain a foreign inward remittance certificate (“</w:t>
      </w:r>
      <w:r>
        <w:rPr>
          <w:rFonts w:ascii="Arial" w:cs="Arial" w:eastAsia="Arial" w:hAnsi="Arial"/>
          <w:sz w:val="16"/>
          <w:szCs w:val="16"/>
          <w:u w:val="single" w:color="auto"/>
          <w:color w:val="auto"/>
        </w:rPr>
        <w:t>FIRC</w:t>
      </w:r>
      <w:r>
        <w:rPr>
          <w:rFonts w:ascii="Arial" w:cs="Arial" w:eastAsia="Arial" w:hAnsi="Arial"/>
          <w:sz w:val="16"/>
          <w:szCs w:val="16"/>
          <w:color w:val="auto"/>
        </w:rPr>
        <w:t xml:space="preserve">”) or other similar form from the bank where Participant deposits the funds and maintain the FIRC or other form as evidence of the repatriation of funds in the event the Reserve Bank of India or Participant’s employer requests proof of repatriation. </w:t>
      </w:r>
      <w:r>
        <w:rPr>
          <w:rFonts w:ascii="Arial" w:cs="Arial" w:eastAsia="Arial" w:hAnsi="Arial"/>
          <w:sz w:val="16"/>
          <w:szCs w:val="16"/>
          <w:i w:val="1"/>
          <w:iCs w:val="1"/>
          <w:color w:val="auto"/>
        </w:rPr>
        <w:t>Participant should consult with his or her personal legal adviser to ensure compliance with the applicable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APPENDIX 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PAYMENTUS HOLDINGS,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EQUITY INCENTIVE PLAN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RESTRICTIVE COVENANTS ADDENDUM TO RESTRICTED STOCK UNIT AGREEMENT</w:t>
      </w:r>
    </w:p>
    <w:p>
      <w:pPr>
        <w:spacing w:after="0" w:line="11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Unless otherwise defined herein, capitalized terms used in this Restrictive Covenants Addendum to Restricted Stock Unit Agreement will be ascribed the same defined meanings as set forth in the Restricted Stock Unit Agreement of which this Restrictive Covenants Addendum forms a part (or the Plan or other written agreement as specified in the Restricted Stock Unit Agreement). If you are an independent contractor, any reference to a “Participant’s employment” with the Company in this Restrictive Covenants Addendum shall be deemed to mean service with the Company or its Parents or Subsidiaries pursuant to your independent contractor agreement(s) with the Company or its Parents or Subsidiaries.</w:t>
      </w:r>
    </w:p>
    <w:p>
      <w:pPr>
        <w:spacing w:after="0" w:line="72" w:lineRule="exact"/>
        <w:rPr>
          <w:sz w:val="20"/>
          <w:szCs w:val="20"/>
          <w:color w:val="auto"/>
        </w:rPr>
      </w:pPr>
    </w:p>
    <w:p>
      <w:pPr>
        <w:ind w:left="760" w:hanging="752"/>
        <w:spacing w:after="0"/>
        <w:tabs>
          <w:tab w:leader="none" w:pos="76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Information</w:t>
      </w:r>
    </w:p>
    <w:p>
      <w:pPr>
        <w:spacing w:after="0" w:line="113" w:lineRule="exact"/>
        <w:rPr>
          <w:rFonts w:ascii="Arial" w:cs="Arial" w:eastAsia="Arial" w:hAnsi="Arial"/>
          <w:sz w:val="16"/>
          <w:szCs w:val="16"/>
          <w:b w:val="1"/>
          <w:bCs w:val="1"/>
          <w:color w:val="auto"/>
        </w:rPr>
      </w:pPr>
    </w:p>
    <w:p>
      <w:pPr>
        <w:jc w:val="both"/>
        <w:ind w:left="1500" w:hanging="743"/>
        <w:spacing w:after="0" w:line="250" w:lineRule="auto"/>
        <w:tabs>
          <w:tab w:leader="none" w:pos="15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Participant expressly agrees that, throughout the term of Participant’s employment with the Company and at all times following the cessation of Participant’s employment from the Company, for so long as the information remains confidential, Participant will not acquire, use, transfer, download, print, or disclose any Confidential Information other than for the purpose to carry out the duties of Participant’s employment for the benefit of the Company (but in all cases preserving confidentiality by following the Company’s policies and procedures). Participant agrees to take all reasonable measures to protect the secrecy of and avoid disclosure or use of Confidential Information in order to prevent it from falling into the public domain or into the possession of any Competing Business or any persons other than those persons authorized under this Restrictive Covenants Addendum to have such information for the benefit of the Company. Participant agrees to notify the Company in writing of any actual or suspected misuse, misappropriation, or unauthorized disclosure of Confidential Information that may come to Participant’s attention. Participant acknowledges that if Participant discloses or uses knowledge of the Company’s Confidential Information to gain an advantage for Participant, for any Competing Business, or for any other person or entity other than the Company, such an advantage so obtained would be unfair and detrimental to the Company.</w:t>
      </w:r>
    </w:p>
    <w:p>
      <w:pPr>
        <w:spacing w:after="0" w:line="267" w:lineRule="exact"/>
        <w:rPr>
          <w:rFonts w:ascii="Arial" w:cs="Arial" w:eastAsia="Arial" w:hAnsi="Arial"/>
          <w:sz w:val="16"/>
          <w:szCs w:val="16"/>
          <w:color w:val="auto"/>
        </w:rPr>
      </w:pPr>
    </w:p>
    <w:p>
      <w:pPr>
        <w:ind w:left="1500" w:hanging="743"/>
        <w:spacing w:after="0"/>
        <w:tabs>
          <w:tab w:leader="none" w:pos="15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Participant shall not be held criminally or civilly liable under any federal or state trade secret law for the disclosure of a trade secret that</w:t>
      </w:r>
    </w:p>
    <w:p>
      <w:pPr>
        <w:spacing w:after="0" w:line="21" w:lineRule="exact"/>
        <w:rPr>
          <w:rFonts w:ascii="Arial" w:cs="Arial" w:eastAsia="Arial" w:hAnsi="Arial"/>
          <w:sz w:val="16"/>
          <w:szCs w:val="16"/>
          <w:color w:val="auto"/>
        </w:rPr>
      </w:pPr>
    </w:p>
    <w:p>
      <w:pPr>
        <w:jc w:val="both"/>
        <w:ind w:left="1500" w:firstLine="6"/>
        <w:spacing w:after="0" w:line="256" w:lineRule="auto"/>
        <w:tabs>
          <w:tab w:leader="none" w:pos="1768" w:val="left"/>
        </w:tabs>
        <w:numPr>
          <w:ilvl w:val="2"/>
          <w:numId w:val="22"/>
        </w:numPr>
        <w:rPr>
          <w:rFonts w:ascii="Arial" w:cs="Arial" w:eastAsia="Arial" w:hAnsi="Arial"/>
          <w:sz w:val="16"/>
          <w:szCs w:val="16"/>
          <w:color w:val="auto"/>
        </w:rPr>
      </w:pPr>
      <w:r>
        <w:rPr>
          <w:rFonts w:ascii="Arial" w:cs="Arial" w:eastAsia="Arial" w:hAnsi="Arial"/>
          <w:sz w:val="16"/>
          <w:szCs w:val="16"/>
          <w:color w:val="auto"/>
        </w:rPr>
        <w:t>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70" w:lineRule="exact"/>
        <w:rPr>
          <w:rFonts w:ascii="Arial" w:cs="Arial" w:eastAsia="Arial" w:hAnsi="Arial"/>
          <w:sz w:val="16"/>
          <w:szCs w:val="16"/>
          <w:color w:val="auto"/>
        </w:rPr>
      </w:pPr>
    </w:p>
    <w:p>
      <w:pPr>
        <w:jc w:val="both"/>
        <w:ind w:left="1500" w:hanging="743"/>
        <w:spacing w:after="0" w:line="249" w:lineRule="auto"/>
        <w:tabs>
          <w:tab w:leader="none" w:pos="15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Nothing contained in this Restrictive Covenants Addendum is intended to prohibit Participant from disclosing or discussing information relating to compensation or working conditions protected by the National Labor Relations Act or applicable law. Additionally, nothing contained in this Restrictive Covenants Addendum prohibits or prevents Participant from filing a charge with or participating, testifying, or assisting in any investigation, hearing, whistleblower proceeding, or other proceeding before any federal, state, or local government agency (e.g., EEOC, NLRB, SEC, etc.) or in any legislative or judicial proceeding nor does anything in this Restrictive Covenants Addendum preclude, prohibit or otherwise limit, in any way, Participant’s rights and abilities to contact, communicate with or report unlawful conduct to federal, state, or local officials for investigation or participate in any whistleblower program administered by such agencies. The Company further acknowledges Participant’s rights to make truthful statements or disclosures required by law, regulation, or legal process and to request or receive confidential legal advice, and nothing in this Restrictive Covenants Addendum shall be deemed to impair those rights. The Company also acknowledges Participant’s rights to make truthful statements or disclosures about unlawful employment practices which are defined to mean any form of unlawful discrimination, harassment, or retaliation that is actionable under Title VII of the Civil Rights Act of 1964 or any comparable state statue or any other related federal or state rule or law that is enforced by the Equal Employment Opportunity Commission or any comparable state agency.</w:t>
      </w:r>
    </w:p>
    <w:p>
      <w:pPr>
        <w:spacing w:after="0" w:line="83" w:lineRule="exact"/>
        <w:rPr>
          <w:rFonts w:ascii="Arial" w:cs="Arial" w:eastAsia="Arial" w:hAnsi="Arial"/>
          <w:sz w:val="16"/>
          <w:szCs w:val="16"/>
          <w:color w:val="auto"/>
        </w:rPr>
      </w:pPr>
    </w:p>
    <w:p>
      <w:pPr>
        <w:jc w:val="both"/>
        <w:ind w:left="760" w:hanging="752"/>
        <w:spacing w:after="0" w:line="254" w:lineRule="auto"/>
        <w:tabs>
          <w:tab w:leader="none" w:pos="76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Limited Non-Compete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acknowledge and agree that, as a result of Participant’s employment with the Company: (i)</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has and will have access to and be involved in the development and utilization of the Company’s Confidential Information; (ii) Participant will develop and maintain critical relationships with the Company’s customers, prospective customers, employees, consultants, and independent contractors; and (iii) Participant will be responsible for further developing and strengthening the Company’s goodwill in the market. Accordingly, Participant expressly agrees that Participant will not Compete with the Company during the Restricted Period within the Restricted Territory on behalf of any Competing Business.</w:t>
      </w:r>
    </w:p>
    <w:p>
      <w:pPr>
        <w:spacing w:after="0" w:line="73" w:lineRule="exact"/>
        <w:rPr>
          <w:rFonts w:ascii="Arial" w:cs="Arial" w:eastAsia="Arial" w:hAnsi="Arial"/>
          <w:sz w:val="16"/>
          <w:szCs w:val="16"/>
          <w:b w:val="1"/>
          <w:bCs w:val="1"/>
          <w:color w:val="auto"/>
        </w:rPr>
      </w:pPr>
    </w:p>
    <w:p>
      <w:pPr>
        <w:ind w:left="760" w:hanging="752"/>
        <w:spacing w:after="0"/>
        <w:tabs>
          <w:tab w:leader="none" w:pos="76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Non-Solicitation of Customers/Prospective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expressly agrees that during the Restricted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90" w:lineRule="exact"/>
        <w:rPr>
          <w:sz w:val="20"/>
          <w:szCs w:val="20"/>
          <w:color w:val="auto"/>
        </w:rPr>
      </w:pPr>
    </w:p>
    <w:p>
      <w:pPr>
        <w:jc w:val="both"/>
        <w:ind w:left="760"/>
        <w:spacing w:after="0" w:line="256" w:lineRule="auto"/>
        <w:rPr>
          <w:sz w:val="20"/>
          <w:szCs w:val="20"/>
          <w:color w:val="auto"/>
        </w:rPr>
      </w:pPr>
      <w:r>
        <w:rPr>
          <w:rFonts w:ascii="Arial" w:cs="Arial" w:eastAsia="Arial" w:hAnsi="Arial"/>
          <w:sz w:val="16"/>
          <w:szCs w:val="16"/>
          <w:color w:val="auto"/>
        </w:rPr>
        <w:t>Period, Participant will not, directly or indirectly, either alone or by assisting or acting in concert with others, on behalf of themselves or any other person, business, entity, including but not limited to on behalf of a Competing Business, solicit, persuade, induce, encourage, divert, or attempt to solicit, persuade, induce, encourage, or divert, or otherwise accept business from, any Customer or Prospective Customer with whom Participant had Material Contact, for the purpose of interfering in the relationship between such Customer or Prospective Customer and the Company, or providing products or services that are competitive with or could replace the Company’s products or services in the Company’s Business.</w:t>
      </w:r>
    </w:p>
    <w:p>
      <w:pPr>
        <w:spacing w:after="0" w:line="72" w:lineRule="exact"/>
        <w:rPr>
          <w:sz w:val="20"/>
          <w:szCs w:val="20"/>
          <w:color w:val="auto"/>
        </w:rPr>
      </w:pPr>
    </w:p>
    <w:p>
      <w:pPr>
        <w:jc w:val="both"/>
        <w:ind w:left="760" w:hanging="752"/>
        <w:spacing w:after="0" w:line="256" w:lineRule="auto"/>
        <w:tabs>
          <w:tab w:leader="none" w:pos="76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Non-Raiding of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expressly agrees that during the Restricted Period, Participant will not, directly or indirectly, either alone</w:t>
      </w:r>
      <w:r>
        <w:rPr>
          <w:rFonts w:ascii="Arial" w:cs="Arial" w:eastAsia="Arial" w:hAnsi="Arial"/>
          <w:sz w:val="16"/>
          <w:szCs w:val="16"/>
          <w:b w:val="1"/>
          <w:bCs w:val="1"/>
          <w:color w:val="auto"/>
        </w:rPr>
        <w:t xml:space="preserve"> </w:t>
      </w:r>
      <w:r>
        <w:rPr>
          <w:rFonts w:ascii="Arial" w:cs="Arial" w:eastAsia="Arial" w:hAnsi="Arial"/>
          <w:sz w:val="16"/>
          <w:szCs w:val="16"/>
          <w:color w:val="auto"/>
        </w:rPr>
        <w:t>or by assisting or acting in concert with others, on behalf of themselves or any other person, business or entity, solicit, induce, encourage or attempt to solicit, induce or encourage any then current employee or independent contractor of the Company (each, a “Restricted Employee”) to alter or terminate their relationship with the Company, or hire, employ, recruit or attempt to hire, employ or recruit any Restricted Employee on behalf of any other person, business or entity.</w:t>
      </w:r>
    </w:p>
    <w:p>
      <w:pPr>
        <w:spacing w:after="0" w:line="71" w:lineRule="exact"/>
        <w:rPr>
          <w:rFonts w:ascii="Arial" w:cs="Arial" w:eastAsia="Arial" w:hAnsi="Arial"/>
          <w:sz w:val="16"/>
          <w:szCs w:val="16"/>
          <w:b w:val="1"/>
          <w:bCs w:val="1"/>
          <w:color w:val="auto"/>
        </w:rPr>
      </w:pPr>
    </w:p>
    <w:p>
      <w:pPr>
        <w:jc w:val="both"/>
        <w:ind w:left="760" w:hanging="752"/>
        <w:spacing w:after="0" w:line="248" w:lineRule="auto"/>
        <w:tabs>
          <w:tab w:leader="none" w:pos="76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Participant breaches any of the restrictive covenants set forth in this Restrictive Covenants Addendum, the then-unvested Restricted Stock Units awarded by this Award Agreement will thereupon be forfeited at no cost to the Company and Participant will have no further rights thereunder. Participant agrees that the obligations set forth in this Restrictive Covenants Addendum are necessary and reasonable in order to protect the Company’s legitimate business interests and (without limiting the foregoing) that the obligations set forth in this Restrictive Covenants Addendum are necessary and reasonable in order to protect the Company’s legitimate business interests in protecting its Confidential Information, customer and employee relationships and the goodwill associated therewith. Participant expressly agrees that due to the unique nature of the Company’s Confidential Information, and its relationships with its customers and employees, monetary damages would be inadequate to compensate the Company for any breach by Participant of the covenants and agreements set forth in this Restrictive Covenants Addendum. Accordingly, Participant agrees and acknowledges that any such violation or threatened violation shall cause irreparable injury to the Company and that, in addition to forfeiture of any unvested Restricted Stock Units and any other remedies that may be available in law, in equity, or otherwise, the Company shall be entitled: (a) to obtain injunctive relief against the threatened breach of this Restrictive Covenants Addendum or the continuation of any such breach by Participant, without the necessity of proving actual damages, and without necessity of posting bond; and</w:t>
      </w:r>
    </w:p>
    <w:p>
      <w:pPr>
        <w:spacing w:after="0" w:line="2" w:lineRule="exact"/>
        <w:rPr>
          <w:rFonts w:ascii="Arial" w:cs="Arial" w:eastAsia="Arial" w:hAnsi="Arial"/>
          <w:sz w:val="16"/>
          <w:szCs w:val="16"/>
          <w:b w:val="1"/>
          <w:bCs w:val="1"/>
          <w:color w:val="auto"/>
        </w:rPr>
      </w:pPr>
    </w:p>
    <w:p>
      <w:pPr>
        <w:jc w:val="both"/>
        <w:ind w:left="760" w:hanging="3"/>
        <w:spacing w:after="0" w:line="250" w:lineRule="auto"/>
        <w:tabs>
          <w:tab w:leader="none" w:pos="1027" w:val="left"/>
        </w:tabs>
        <w:numPr>
          <w:ilvl w:val="1"/>
          <w:numId w:val="23"/>
        </w:numPr>
        <w:rPr>
          <w:rFonts w:ascii="Arial" w:cs="Arial" w:eastAsia="Arial" w:hAnsi="Arial"/>
          <w:sz w:val="16"/>
          <w:szCs w:val="16"/>
          <w:color w:val="auto"/>
        </w:rPr>
      </w:pPr>
      <w:r>
        <w:rPr>
          <w:rFonts w:ascii="Arial" w:cs="Arial" w:eastAsia="Arial" w:hAnsi="Arial"/>
          <w:sz w:val="16"/>
          <w:szCs w:val="16"/>
          <w:color w:val="auto"/>
        </w:rPr>
        <w:t>to recover any costs or attorneys’ fees, arising out of or in connection with any breach or threatened breach by Participant or any action relating to Participant’s obligations under this Restrictive Covenants Addendum. Any such equitable relief sought or obtained pursuant to this Restrictive Covenants Addendum will not be the Company’s exclusive remedy to address Participant’s breach or threatened breach of the provisions herein, and the Company shall be entitled to pursue all remedies available, including but not limited to actual damages, pursuant to applicable law. No claim, demand, action, or cause of action that Participant may have against the Company shall constitute a defense to the Company’s enforcement of any of its rights or Participant’s obligations hereunder by the Company or the Company’s successors or assigns.</w:t>
      </w:r>
    </w:p>
    <w:p>
      <w:pPr>
        <w:spacing w:after="0" w:line="76" w:lineRule="exact"/>
        <w:rPr>
          <w:rFonts w:ascii="Arial" w:cs="Arial" w:eastAsia="Arial" w:hAnsi="Arial"/>
          <w:sz w:val="16"/>
          <w:szCs w:val="16"/>
          <w:color w:val="auto"/>
        </w:rPr>
      </w:pPr>
    </w:p>
    <w:p>
      <w:pPr>
        <w:jc w:val="both"/>
        <w:ind w:left="760" w:hanging="752"/>
        <w:spacing w:after="0" w:line="253" w:lineRule="auto"/>
        <w:tabs>
          <w:tab w:leader="none" w:pos="76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Tolling</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and agrees that the Restricted Period shall be tolled on a day-for-day basis for all periods in which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is in breach of the obligations contained in this Restrictive Covenants Addendum, so that the Company receives the full benefit of the Restricted Period to which Participant has agreed herein. Participant also agrees that if Participant or the Company institutes litigation to enforce or challenge the protective covenants in this Restrictive Covenants Addendum, and Participant is not enjoined from breaching one or more of the protective covenants contained in this Restrictive Covenants Addendum, and a court thereafter determines that one or more of the protective covenants are enforceable, the Restricted Period shall be tolled (i.e. suspended) beginning on the date the litigation was instituted until the litigation is finally resolved and all periods of appeal have expired.</w:t>
      </w:r>
    </w:p>
    <w:p>
      <w:pPr>
        <w:spacing w:after="0" w:line="73" w:lineRule="exact"/>
        <w:rPr>
          <w:rFonts w:ascii="Arial" w:cs="Arial" w:eastAsia="Arial" w:hAnsi="Arial"/>
          <w:sz w:val="16"/>
          <w:szCs w:val="16"/>
          <w:b w:val="1"/>
          <w:bCs w:val="1"/>
          <w:color w:val="auto"/>
        </w:rPr>
      </w:pPr>
    </w:p>
    <w:p>
      <w:pPr>
        <w:ind w:left="760" w:hanging="752"/>
        <w:spacing w:after="0" w:line="286" w:lineRule="auto"/>
        <w:tabs>
          <w:tab w:leader="none" w:pos="76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purposes throughout this Restrictive Covenants Addendum, the terms defined below shall have the respective meanings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in this section.</w:t>
      </w:r>
    </w:p>
    <w:p>
      <w:pPr>
        <w:spacing w:after="0" w:line="48" w:lineRule="exact"/>
        <w:rPr>
          <w:sz w:val="20"/>
          <w:szCs w:val="20"/>
          <w:color w:val="auto"/>
        </w:rPr>
      </w:pPr>
    </w:p>
    <w:p>
      <w:pPr>
        <w:ind w:left="1500" w:hanging="743"/>
        <w:spacing w:after="0" w:line="286" w:lineRule="auto"/>
        <w:tabs>
          <w:tab w:leader="none" w:pos="1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“Business” means the business of investing and operating in payments, payments networks, billing, billing solutions, software and technology-enabled businesses, including a continuous program of research, development, production and marketing.</w:t>
      </w:r>
    </w:p>
    <w:p>
      <w:pPr>
        <w:spacing w:after="0" w:line="47" w:lineRule="exact"/>
        <w:rPr>
          <w:rFonts w:ascii="Arial" w:cs="Arial" w:eastAsia="Arial" w:hAnsi="Arial"/>
          <w:sz w:val="16"/>
          <w:szCs w:val="16"/>
          <w:color w:val="auto"/>
        </w:rPr>
      </w:pPr>
    </w:p>
    <w:p>
      <w:pPr>
        <w:jc w:val="both"/>
        <w:ind w:left="1500" w:hanging="743"/>
        <w:spacing w:after="0" w:line="254" w:lineRule="auto"/>
        <w:tabs>
          <w:tab w:leader="none" w:pos="1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“Cause” shall mean voluntary resignation, disability that renders Participant incapable of performing the essential functions of Participant’s job, with or without reasonable accommodation, after Participant has exhausted any leave available under applicable law or Company policy, job abandonment, substandard performance, engaging in any act or omission deemed to be against the best interests of the Company, unsafe, threatening or violent activity or conduct, and any other conduct that could reasonably be perceived as damaging the Company’s reputation or interfering with its business interests. A termination for Cause may be based on conduct that takes place in or outside the workplace. Cause shall be determined in the sole discretion of the Company.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90" w:lineRule="exact"/>
        <w:rPr>
          <w:sz w:val="20"/>
          <w:szCs w:val="20"/>
          <w:color w:val="auto"/>
        </w:rPr>
      </w:pPr>
    </w:p>
    <w:p>
      <w:pPr>
        <w:jc w:val="both"/>
        <w:ind w:left="743" w:hanging="743"/>
        <w:spacing w:after="0" w:line="255" w:lineRule="auto"/>
        <w:tabs>
          <w:tab w:leader="none" w:pos="7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“Compete” shall mean: (i) providing the same or similar services or expertise Participant provided to the Company at any time during the twelve (12) months prior to cessation of Participant’s employment; (ii) any involvement where Participant will be responsible for managing others, participating in strategic decision-making, engaging in research or development, or personally selling products or services that are the same as or substantially similar to the products or services market, sold, or provided by the Company; or (iii) any other capacity where Participant’s knowledge of the Company’s Confidential Information could provide a competitive advantage to any Competing Business.</w:t>
      </w:r>
    </w:p>
    <w:p>
      <w:pPr>
        <w:spacing w:after="0" w:line="264" w:lineRule="exact"/>
        <w:rPr>
          <w:rFonts w:ascii="Arial" w:cs="Arial" w:eastAsia="Arial" w:hAnsi="Arial"/>
          <w:sz w:val="16"/>
          <w:szCs w:val="16"/>
          <w:color w:val="auto"/>
        </w:rPr>
      </w:pPr>
    </w:p>
    <w:p>
      <w:pPr>
        <w:jc w:val="both"/>
        <w:ind w:left="743" w:hanging="743"/>
        <w:spacing w:after="0" w:line="254" w:lineRule="auto"/>
        <w:tabs>
          <w:tab w:leader="none" w:pos="7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“Competing Business” shall mean any person or entity in the business of developing, distributing, selling, supplying or otherwise dealing with (including but not limited to technical and product support, professional services, technical advice and other customer services) billing and payment solutions (products and services) that offer billers the ability to send bills via electronic channels, receive payments of all types, reconcile payments in real time, and empower customers to work with a self-service billing portal and any other products or services that could replace and are therefore competitive with those offered by the Company or any predecessor within the two (2) years prior to the cessation of Participant’s employment.</w:t>
      </w:r>
    </w:p>
    <w:p>
      <w:pPr>
        <w:spacing w:after="0" w:line="73" w:lineRule="exact"/>
        <w:rPr>
          <w:rFonts w:ascii="Arial" w:cs="Arial" w:eastAsia="Arial" w:hAnsi="Arial"/>
          <w:sz w:val="16"/>
          <w:szCs w:val="16"/>
          <w:color w:val="auto"/>
        </w:rPr>
      </w:pPr>
    </w:p>
    <w:p>
      <w:pPr>
        <w:jc w:val="both"/>
        <w:ind w:left="743" w:hanging="743"/>
        <w:spacing w:after="0" w:line="248" w:lineRule="auto"/>
        <w:tabs>
          <w:tab w:leader="none" w:pos="7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“Confidential Information” shall mean sensitive business information having actual or potential value to the Company or its affiliates because it is not generally known to the general public or ascertainable by a Competing Business, and which has been disclosed to Participant, or of which Participant will become aware, as a consequence of the Participant’s employment with the Company. Confidential Information includes, but is not limited to, the Company’s investment strategies, management planning information, business plans, operational methods, market studies, marketing plans or strategies, patent information, business acquisition plans, past, current and planned research and development, formulas, methods, patterns, processes, procedures, instructions, designs, inventions, operations, engineering, drawings, equipment, devices, technology, software systems, price lists, sales reports and records, sales books and manuals, code books, financial information and projections, personnel data such as compensation, strengths, weaknesses, and experience, names of customers, customer lists and contact information, customer pricing and purchasing information, lists of targeted prospective customers, supplier lists, product/service and marketing data and programs, product/service plans, product development, advertising campaigns, new product designs or roll out, agreements with third parties, or any information designated by the Company as being “confidential.” Confidential Information may be in written or non-written form, as well as information held on electronic media or networks, magnetic storage, cloud storage service, or other similar media. The Company has invested and will continue to invest extensive time, resources, talent, and effort to develop its Confidential Information, all of which generates goodwill for the Company. Participant acknowledges that the Company has taken reasonable and adequate steps to control access to the Confidential Information and to prevent unauthorized disclosure, which could cause injury to the Company. This definition shall not limit any broader definition of “confidential information” or any equivalent term under applicable state or federal law. Confidential Information shall not include any information that (i) is or becomes generally available to the public other than as a result of an unauthorized or unintentional disclosure, (ii) has been independently developed and disclosed by others without violating any obligations to the Company or applicable law, or (iii) otherwise enters the public domain through lawful means.</w:t>
      </w:r>
    </w:p>
    <w:p>
      <w:pPr>
        <w:spacing w:after="0" w:line="85" w:lineRule="exact"/>
        <w:rPr>
          <w:rFonts w:ascii="Arial" w:cs="Arial" w:eastAsia="Arial" w:hAnsi="Arial"/>
          <w:sz w:val="16"/>
          <w:szCs w:val="16"/>
          <w:color w:val="auto"/>
        </w:rPr>
      </w:pPr>
    </w:p>
    <w:p>
      <w:pPr>
        <w:jc w:val="both"/>
        <w:ind w:left="743" w:hanging="743"/>
        <w:spacing w:after="0" w:line="266" w:lineRule="auto"/>
        <w:tabs>
          <w:tab w:leader="none" w:pos="7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“Customer” of the Company shall mean any business or entity that agreed, verbally or in writing, to purchase products or services from the Company or actually purchased products or services from the Company within the twelve (12) months preceding the cessation of Participant’s employment with the Company.</w:t>
      </w:r>
    </w:p>
    <w:p>
      <w:pPr>
        <w:spacing w:after="0" w:line="63" w:lineRule="exact"/>
        <w:rPr>
          <w:rFonts w:ascii="Arial" w:cs="Arial" w:eastAsia="Arial" w:hAnsi="Arial"/>
          <w:sz w:val="16"/>
          <w:szCs w:val="16"/>
          <w:color w:val="auto"/>
        </w:rPr>
      </w:pPr>
    </w:p>
    <w:p>
      <w:pPr>
        <w:ind w:left="743" w:hanging="743"/>
        <w:spacing w:after="0" w:line="286" w:lineRule="auto"/>
        <w:tabs>
          <w:tab w:leader="none" w:pos="7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 “employment” shall include service as an employee, consultant, or other service provider of the Company or any Subsidiary or Parent of the Company.</w:t>
      </w:r>
    </w:p>
    <w:p>
      <w:pPr>
        <w:spacing w:after="0" w:line="47" w:lineRule="exact"/>
        <w:rPr>
          <w:rFonts w:ascii="Arial" w:cs="Arial" w:eastAsia="Arial" w:hAnsi="Arial"/>
          <w:sz w:val="16"/>
          <w:szCs w:val="16"/>
          <w:color w:val="auto"/>
        </w:rPr>
      </w:pPr>
    </w:p>
    <w:p>
      <w:pPr>
        <w:ind w:left="743" w:hanging="743"/>
        <w:spacing w:after="0"/>
        <w:tabs>
          <w:tab w:leader="none" w:pos="7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Participant will be deemed to have had “Material Contact” with any Customer or Prospective Customer of the Company if, in the twelve</w:t>
      </w:r>
    </w:p>
    <w:p>
      <w:pPr>
        <w:spacing w:after="0" w:line="21" w:lineRule="exact"/>
        <w:rPr>
          <w:rFonts w:ascii="Arial" w:cs="Arial" w:eastAsia="Arial" w:hAnsi="Arial"/>
          <w:sz w:val="16"/>
          <w:szCs w:val="16"/>
          <w:color w:val="auto"/>
        </w:rPr>
      </w:pPr>
    </w:p>
    <w:p>
      <w:pPr>
        <w:jc w:val="both"/>
        <w:ind w:left="743" w:firstLine="6"/>
        <w:spacing w:after="0" w:line="251" w:lineRule="auto"/>
        <w:tabs>
          <w:tab w:leader="none" w:pos="1076" w:val="left"/>
        </w:tabs>
        <w:numPr>
          <w:ilvl w:val="1"/>
          <w:numId w:val="25"/>
        </w:numPr>
        <w:rPr>
          <w:rFonts w:ascii="Arial" w:cs="Arial" w:eastAsia="Arial" w:hAnsi="Arial"/>
          <w:sz w:val="16"/>
          <w:szCs w:val="16"/>
          <w:color w:val="auto"/>
        </w:rPr>
      </w:pPr>
      <w:r>
        <w:rPr>
          <w:rFonts w:ascii="Arial" w:cs="Arial" w:eastAsia="Arial" w:hAnsi="Arial"/>
          <w:sz w:val="16"/>
          <w:szCs w:val="16"/>
          <w:color w:val="auto"/>
        </w:rPr>
        <w:t>months prior to the cessation of Participant’s employment with the Company, the Customer or Prospective Customer is one: (i) with whom or which Participant dealt on behalf of the Company; (ii) whose dealings with the Company were coordinated or supervised by Participant; (iii) about whom Participant obtained Confidential Information in the ordinary course of business as a result of Participant’s employment with the Company; or (iv) who received products or services authorized by the Company, the sale or provision of which resulted in compensation, commissions, or earnings for Participant.</w:t>
      </w:r>
    </w:p>
    <w:p>
      <w:pPr>
        <w:spacing w:after="0" w:line="74" w:lineRule="exact"/>
        <w:rPr>
          <w:rFonts w:ascii="Arial" w:cs="Arial" w:eastAsia="Arial" w:hAnsi="Arial"/>
          <w:sz w:val="16"/>
          <w:szCs w:val="16"/>
          <w:color w:val="auto"/>
        </w:rPr>
      </w:pPr>
    </w:p>
    <w:p>
      <w:pPr>
        <w:jc w:val="both"/>
        <w:ind w:left="743" w:hanging="743"/>
        <w:spacing w:after="0" w:line="256" w:lineRule="auto"/>
        <w:tabs>
          <w:tab w:leader="none" w:pos="7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“Prospective Customer” shall mean any business or entity that is not a Customer, but to whom Participant provided a bid, quote for products or services, or about whom Participant obtained Confidential Information for the purposes of securing a sale, during the twelve</w:t>
      </w:r>
    </w:p>
    <w:p>
      <w:pPr>
        <w:spacing w:after="0" w:line="1" w:lineRule="exact"/>
        <w:rPr>
          <w:rFonts w:ascii="Arial" w:cs="Arial" w:eastAsia="Arial" w:hAnsi="Arial"/>
          <w:sz w:val="16"/>
          <w:szCs w:val="16"/>
          <w:color w:val="auto"/>
        </w:rPr>
      </w:pPr>
    </w:p>
    <w:p>
      <w:pPr>
        <w:ind w:left="1083" w:hanging="334"/>
        <w:spacing w:after="0"/>
        <w:tabs>
          <w:tab w:leader="none" w:pos="1083" w:val="left"/>
        </w:tabs>
        <w:numPr>
          <w:ilvl w:val="1"/>
          <w:numId w:val="25"/>
        </w:numPr>
        <w:rPr>
          <w:rFonts w:ascii="Arial" w:cs="Arial" w:eastAsia="Arial" w:hAnsi="Arial"/>
          <w:sz w:val="16"/>
          <w:szCs w:val="16"/>
          <w:color w:val="auto"/>
        </w:rPr>
      </w:pPr>
      <w:r>
        <w:rPr>
          <w:rFonts w:ascii="Arial" w:cs="Arial" w:eastAsia="Arial" w:hAnsi="Arial"/>
          <w:sz w:val="16"/>
          <w:szCs w:val="16"/>
          <w:color w:val="auto"/>
        </w:rPr>
        <w:t>months preceding cessation of Participant’s employment with the Company.</w:t>
      </w:r>
    </w:p>
    <w:p>
      <w:pPr>
        <w:spacing w:after="0" w:line="233" w:lineRule="exact"/>
        <w:rPr>
          <w:sz w:val="20"/>
          <w:szCs w:val="20"/>
          <w:color w:val="auto"/>
        </w:rPr>
      </w:pPr>
    </w:p>
    <w:p>
      <w:pPr>
        <w:ind w:left="4743"/>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39" w:name="page40"/>
    <w:bookmarkEnd w:id="39"/>
    <w:p>
      <w:pPr>
        <w:spacing w:after="0" w:line="90" w:lineRule="exact"/>
        <w:rPr>
          <w:sz w:val="20"/>
          <w:szCs w:val="20"/>
          <w:color w:val="auto"/>
        </w:rPr>
      </w:pPr>
    </w:p>
    <w:p>
      <w:pPr>
        <w:ind w:left="1500" w:hanging="743"/>
        <w:spacing w:after="0" w:line="286" w:lineRule="auto"/>
        <w:tabs>
          <w:tab w:leader="none" w:pos="15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“Restricted Period” shall mean the entire period of Participant’s employment with the Company and a twelve (12) month period immediately following the cessation of Participant’s employment.</w:t>
      </w:r>
    </w:p>
    <w:p>
      <w:pPr>
        <w:spacing w:after="0" w:line="47" w:lineRule="exact"/>
        <w:rPr>
          <w:rFonts w:ascii="Arial" w:cs="Arial" w:eastAsia="Arial" w:hAnsi="Arial"/>
          <w:sz w:val="16"/>
          <w:szCs w:val="16"/>
          <w:color w:val="auto"/>
        </w:rPr>
      </w:pPr>
    </w:p>
    <w:p>
      <w:pPr>
        <w:jc w:val="both"/>
        <w:ind w:left="1500" w:hanging="743"/>
        <w:spacing w:after="0" w:line="256" w:lineRule="auto"/>
        <w:tabs>
          <w:tab w:leader="none" w:pos="15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“Restricted Territory” shall mean (i) Participant’s designated territory or area of responsibility as of the cessation of Participant’s employment with the Company; and (ii) the geographic areas in which Participant, during any time in the last twelve (12) months of Participant’s employment with the Company, provided services or had a material presence or influence. Acts done by Participant outside the “Restricted Territory” shall be deemed to be done within the “Restricted Territory” where their primary purpose or effect is to compete with the Company on behalf of a Competing Business within the “Restricted Territory.”</w:t>
      </w:r>
    </w:p>
    <w:p>
      <w:pPr>
        <w:spacing w:after="0" w:line="71" w:lineRule="exact"/>
        <w:rPr>
          <w:rFonts w:ascii="Arial" w:cs="Arial" w:eastAsia="Arial" w:hAnsi="Arial"/>
          <w:sz w:val="16"/>
          <w:szCs w:val="16"/>
          <w:color w:val="auto"/>
        </w:rPr>
      </w:pPr>
    </w:p>
    <w:p>
      <w:pPr>
        <w:jc w:val="both"/>
        <w:ind w:left="760" w:hanging="752"/>
        <w:spacing w:after="0" w:line="266" w:lineRule="auto"/>
        <w:tabs>
          <w:tab w:leader="none" w:pos="76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Participant’s right to consult with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that Participant has been provided an opportunity, and has been made</w:t>
      </w:r>
      <w:r>
        <w:rPr>
          <w:rFonts w:ascii="Arial" w:cs="Arial" w:eastAsia="Arial" w:hAnsi="Arial"/>
          <w:sz w:val="16"/>
          <w:szCs w:val="16"/>
          <w:b w:val="1"/>
          <w:bCs w:val="1"/>
          <w:color w:val="auto"/>
        </w:rPr>
        <w:t xml:space="preserve"> </w:t>
      </w:r>
      <w:r>
        <w:rPr>
          <w:rFonts w:ascii="Arial" w:cs="Arial" w:eastAsia="Arial" w:hAnsi="Arial"/>
          <w:sz w:val="16"/>
          <w:szCs w:val="16"/>
          <w:color w:val="auto"/>
        </w:rPr>
        <w:t>aware of Participant’s right, to consult with counsel of their choosing at Participant’s expense prior to entering into the Award Agreement, including specifically (but without limitation) the restrictive covenants in this Restrictive Covenants Addendum.</w:t>
      </w:r>
    </w:p>
    <w:p>
      <w:pPr>
        <w:spacing w:after="0" w:line="63" w:lineRule="exact"/>
        <w:rPr>
          <w:rFonts w:ascii="Arial" w:cs="Arial" w:eastAsia="Arial" w:hAnsi="Arial"/>
          <w:sz w:val="16"/>
          <w:szCs w:val="16"/>
          <w:b w:val="1"/>
          <w:bCs w:val="1"/>
          <w:color w:val="auto"/>
        </w:rPr>
      </w:pPr>
    </w:p>
    <w:p>
      <w:pPr>
        <w:jc w:val="both"/>
        <w:ind w:left="760" w:hanging="752"/>
        <w:spacing w:after="0" w:line="252" w:lineRule="auto"/>
        <w:tabs>
          <w:tab w:leader="none" w:pos="76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Notification of New Employer</w:t>
      </w:r>
      <w:r>
        <w:rPr>
          <w:rFonts w:ascii="Arial" w:cs="Arial" w:eastAsia="Arial" w:hAnsi="Arial"/>
          <w:sz w:val="16"/>
          <w:szCs w:val="16"/>
          <w:b w:val="1"/>
          <w:bCs w:val="1"/>
          <w:color w:val="auto"/>
        </w:rPr>
        <w:t xml:space="preserve">. </w:t>
      </w:r>
      <w:r>
        <w:rPr>
          <w:rFonts w:ascii="Arial" w:cs="Arial" w:eastAsia="Arial" w:hAnsi="Arial"/>
          <w:sz w:val="16"/>
          <w:szCs w:val="16"/>
          <w:color w:val="auto"/>
        </w:rPr>
        <w:t>Before Participant accepts employment or enters into any consulting, independent contractor,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professional or business engagement with any other person or entity while any of the provisions of this Restrictive Covenants Addendum are in effect, Participant will provide such person or entity with written notice of the provisions of this Restrictive Covenants Addendum and will deliver a copy of that notice to the Company. While any of the restrictive covenant provisions of this Restrictive Covenants Addendum are in effect, Participant agrees that, upon the request of the Company, Participant will furnish the Company with the name and address of any new employer or entity for whom Participant provides contractor or consulting services, as well as the capacity in which Participant will be employed or otherwise engaged. Participant hereby consents to the Company’s notifying Participant’s new employer about Participant’s responsibilities, restrictions and obligations under this Restrictive Covenants Addendum.</w:t>
      </w:r>
    </w:p>
    <w:p>
      <w:pPr>
        <w:spacing w:after="0" w:line="74" w:lineRule="exact"/>
        <w:rPr>
          <w:rFonts w:ascii="Arial" w:cs="Arial" w:eastAsia="Arial" w:hAnsi="Arial"/>
          <w:sz w:val="16"/>
          <w:szCs w:val="16"/>
          <w:b w:val="1"/>
          <w:bCs w:val="1"/>
          <w:color w:val="auto"/>
        </w:rPr>
      </w:pPr>
    </w:p>
    <w:p>
      <w:pPr>
        <w:jc w:val="both"/>
        <w:ind w:left="760" w:hanging="752"/>
        <w:spacing w:after="0" w:line="251" w:lineRule="auto"/>
        <w:tabs>
          <w:tab w:leader="none" w:pos="76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State Law Exceptions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acknowledges and agrees that, in certain states the covenants contained in this Restrictive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Addendum may have limited or no applicability. The Company intends for this Restrictive Covenants Addendum to comply fully with state and local laws and, as such, acknowledges that this Restrictive Covenants Addendum is limited or not applicable in the following states. To the extent that there are additional limitations not acknowledged herein, the Company intends for this</w:t>
      </w:r>
    </w:p>
    <w:p>
      <w:pPr>
        <w:spacing w:after="0" w:line="2" w:lineRule="exact"/>
        <w:rPr>
          <w:rFonts w:ascii="Arial" w:cs="Arial" w:eastAsia="Arial" w:hAnsi="Arial"/>
          <w:sz w:val="16"/>
          <w:szCs w:val="16"/>
          <w:b w:val="1"/>
          <w:bCs w:val="1"/>
          <w:color w:val="auto"/>
        </w:rPr>
      </w:pPr>
    </w:p>
    <w:p>
      <w:pPr>
        <w:jc w:val="both"/>
        <w:ind w:left="760"/>
        <w:spacing w:after="0" w:line="256" w:lineRule="auto"/>
        <w:rPr>
          <w:rFonts w:ascii="Arial" w:cs="Arial" w:eastAsia="Arial" w:hAnsi="Arial"/>
          <w:sz w:val="16"/>
          <w:szCs w:val="16"/>
          <w:b w:val="1"/>
          <w:bCs w:val="1"/>
          <w:color w:val="auto"/>
        </w:rPr>
      </w:pPr>
      <w:r>
        <w:rPr>
          <w:rFonts w:ascii="Arial" w:cs="Arial" w:eastAsia="Arial" w:hAnsi="Arial"/>
          <w:sz w:val="16"/>
          <w:szCs w:val="16"/>
          <w:color w:val="auto"/>
        </w:rPr>
        <w:t>Restrictive Covenants Addendum to be read and applied in full compliance with applicable state laws. Further, to the extent any state not listed limits enforceability of a covenant if Participant’s annual compensation is insufficient for enforceable post-employment non-competition or non-solicitation restrictions, such limitation is incorporated by reference.</w:t>
      </w:r>
    </w:p>
    <w:p>
      <w:pPr>
        <w:spacing w:after="0" w:line="70" w:lineRule="exact"/>
        <w:rPr>
          <w:rFonts w:ascii="Arial" w:cs="Arial" w:eastAsia="Arial" w:hAnsi="Arial"/>
          <w:sz w:val="16"/>
          <w:szCs w:val="16"/>
          <w:b w:val="1"/>
          <w:bCs w:val="1"/>
          <w:color w:val="auto"/>
        </w:rPr>
      </w:pPr>
    </w:p>
    <w:p>
      <w:pPr>
        <w:jc w:val="both"/>
        <w:ind w:left="1500" w:hanging="743"/>
        <w:spacing w:after="0" w:line="266" w:lineRule="auto"/>
        <w:tabs>
          <w:tab w:leader="none" w:pos="150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Arizona</w:t>
      </w:r>
      <w:r>
        <w:rPr>
          <w:rFonts w:ascii="Arial" w:cs="Arial" w:eastAsia="Arial" w:hAnsi="Arial"/>
          <w:sz w:val="16"/>
          <w:szCs w:val="16"/>
          <w:color w:val="auto"/>
        </w:rPr>
        <w:t>. If Participant’s primary work location is in Arizona as of the date Participant’s employment with the Company ceases, Sections 3 and 4 of this Restrictive Covenants Addendum will prohibit Participant from engaging in the conduct described only in the “Restricted Territory.”</w:t>
      </w:r>
    </w:p>
    <w:p>
      <w:pPr>
        <w:spacing w:after="0" w:line="63" w:lineRule="exact"/>
        <w:rPr>
          <w:rFonts w:ascii="Arial" w:cs="Arial" w:eastAsia="Arial" w:hAnsi="Arial"/>
          <w:sz w:val="16"/>
          <w:szCs w:val="16"/>
          <w:color w:val="auto"/>
        </w:rPr>
      </w:pPr>
    </w:p>
    <w:p>
      <w:pPr>
        <w:jc w:val="both"/>
        <w:ind w:left="1500" w:hanging="743"/>
        <w:spacing w:after="0" w:line="259" w:lineRule="auto"/>
        <w:tabs>
          <w:tab w:leader="none" w:pos="150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California</w:t>
      </w:r>
      <w:r>
        <w:rPr>
          <w:rFonts w:ascii="Arial" w:cs="Arial" w:eastAsia="Arial" w:hAnsi="Arial"/>
          <w:sz w:val="16"/>
          <w:szCs w:val="16"/>
          <w:color w:val="auto"/>
        </w:rPr>
        <w:t>. If Participant’s primary work location is in California as of the date Participant’s employment with the Company ceases, Sections 2, 3, 4 and 6 of this Restrictive Covenants Addendum do not apply to Participant after Participant’s last day of employment. Further, Section 5 of this Restrictive Covenants Addendum shall provide for attorneys’ fees to the prevailing party as required under California Civil Code § 1717.</w:t>
      </w:r>
    </w:p>
    <w:p>
      <w:pPr>
        <w:spacing w:after="0" w:line="69" w:lineRule="exact"/>
        <w:rPr>
          <w:rFonts w:ascii="Arial" w:cs="Arial" w:eastAsia="Arial" w:hAnsi="Arial"/>
          <w:sz w:val="16"/>
          <w:szCs w:val="16"/>
          <w:color w:val="auto"/>
        </w:rPr>
      </w:pPr>
    </w:p>
    <w:p>
      <w:pPr>
        <w:jc w:val="both"/>
        <w:ind w:left="1500" w:hanging="743"/>
        <w:spacing w:after="0" w:line="266" w:lineRule="auto"/>
        <w:tabs>
          <w:tab w:leader="none" w:pos="150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Connecticut</w:t>
      </w:r>
      <w:r>
        <w:rPr>
          <w:rFonts w:ascii="Arial" w:cs="Arial" w:eastAsia="Arial" w:hAnsi="Arial"/>
          <w:sz w:val="16"/>
          <w:szCs w:val="16"/>
          <w:color w:val="auto"/>
        </w:rPr>
        <w:t>. If Participant’s primary work location is in Connecticut, Section 1 of this Restrictive Covenants Addendum shall not be interpreted to preclude Participant from discussing at any time the compensation of any employee of the Company who has voluntarily disclosed that compensation information to Participant.</w:t>
      </w:r>
    </w:p>
    <w:p>
      <w:pPr>
        <w:spacing w:after="0" w:line="63" w:lineRule="exact"/>
        <w:rPr>
          <w:rFonts w:ascii="Arial" w:cs="Arial" w:eastAsia="Arial" w:hAnsi="Arial"/>
          <w:sz w:val="16"/>
          <w:szCs w:val="16"/>
          <w:color w:val="auto"/>
        </w:rPr>
      </w:pPr>
    </w:p>
    <w:p>
      <w:pPr>
        <w:ind w:left="1500" w:right="20" w:hanging="743"/>
        <w:spacing w:after="0" w:line="286" w:lineRule="auto"/>
        <w:tabs>
          <w:tab w:leader="none" w:pos="150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Florida</w:t>
      </w:r>
      <w:r>
        <w:rPr>
          <w:rFonts w:ascii="Arial" w:cs="Arial" w:eastAsia="Arial" w:hAnsi="Arial"/>
          <w:sz w:val="16"/>
          <w:szCs w:val="16"/>
          <w:color w:val="auto"/>
        </w:rPr>
        <w:t>. If Participant’s primary work location is in Florida as of the date Participant’s employment with the Company ceases, then the phrase “and without necessity of posting bond” shall be struck from Section 5 of this Restrictive Covenants Addendum.</w:t>
      </w:r>
    </w:p>
    <w:p>
      <w:pPr>
        <w:spacing w:after="0" w:line="47" w:lineRule="exact"/>
        <w:rPr>
          <w:rFonts w:ascii="Arial" w:cs="Arial" w:eastAsia="Arial" w:hAnsi="Arial"/>
          <w:sz w:val="16"/>
          <w:szCs w:val="16"/>
          <w:color w:val="auto"/>
        </w:rPr>
      </w:pPr>
    </w:p>
    <w:p>
      <w:pPr>
        <w:jc w:val="both"/>
        <w:ind w:left="1500" w:hanging="743"/>
        <w:spacing w:after="0" w:line="266" w:lineRule="auto"/>
        <w:tabs>
          <w:tab w:leader="none" w:pos="150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Hawaii</w:t>
      </w:r>
      <w:r>
        <w:rPr>
          <w:rFonts w:ascii="Arial" w:cs="Arial" w:eastAsia="Arial" w:hAnsi="Arial"/>
          <w:sz w:val="16"/>
          <w:szCs w:val="16"/>
          <w:color w:val="auto"/>
        </w:rPr>
        <w:t>. If Participant’s primary work location is in Hawaii as of the date Participant’s employment with the Company ceases, then after the last day of Participant’s employment the restrictions in Section 2 of this Restrictive Covenants Addendum will apply geographically only to the specific island(s) within the State of Hawaii for which Participant had managerial and/or sales responsibility.</w:t>
      </w:r>
    </w:p>
    <w:p>
      <w:pPr>
        <w:spacing w:after="0" w:line="63" w:lineRule="exact"/>
        <w:rPr>
          <w:rFonts w:ascii="Arial" w:cs="Arial" w:eastAsia="Arial" w:hAnsi="Arial"/>
          <w:sz w:val="16"/>
          <w:szCs w:val="16"/>
          <w:color w:val="auto"/>
        </w:rPr>
      </w:pPr>
    </w:p>
    <w:p>
      <w:pPr>
        <w:jc w:val="both"/>
        <w:ind w:left="1500" w:hanging="743"/>
        <w:spacing w:after="0" w:line="256" w:lineRule="auto"/>
        <w:tabs>
          <w:tab w:leader="none" w:pos="150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Idaho</w:t>
      </w:r>
      <w:r>
        <w:rPr>
          <w:rFonts w:ascii="Arial" w:cs="Arial" w:eastAsia="Arial" w:hAnsi="Arial"/>
          <w:sz w:val="16"/>
          <w:szCs w:val="16"/>
          <w:color w:val="auto"/>
        </w:rPr>
        <w:t>. If Participant’s primary work location is in Idaho as of the date Participant’s employment with the Company ceases, then after the last day of Participant’s employment the restrictions in Sections 2, 3, and 4 of this Restrictive Covenants Addendum shall apply only if Participant is a “key employee.” As used herein, the phrase “key employee” means an employee who, by reason of the employer’s investment of time, money, trust, exposure to the public, or exposure to technologies, intellectual property, business plans, business processes and methods of operation, customers, vendors or other business relationships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90" w:lineRule="exact"/>
        <w:rPr>
          <w:sz w:val="20"/>
          <w:szCs w:val="20"/>
          <w:color w:val="auto"/>
        </w:rPr>
      </w:pPr>
    </w:p>
    <w:p>
      <w:pPr>
        <w:jc w:val="both"/>
        <w:ind w:left="743"/>
        <w:spacing w:after="0" w:line="266" w:lineRule="auto"/>
        <w:rPr>
          <w:sz w:val="20"/>
          <w:szCs w:val="20"/>
          <w:color w:val="auto"/>
        </w:rPr>
      </w:pPr>
      <w:r>
        <w:rPr>
          <w:rFonts w:ascii="Arial" w:cs="Arial" w:eastAsia="Arial" w:hAnsi="Arial"/>
          <w:sz w:val="16"/>
          <w:szCs w:val="16"/>
          <w:color w:val="auto"/>
        </w:rPr>
        <w:t>during the course of Participant’s employment, has gained a high level of inside knowledge, influence, credibility, notoriety, fame, reputation or public persona as a representative or spokesperson of the employer and, as a result, has the ability to harm or threaten an employer’s legitimate business interests.</w:t>
      </w:r>
    </w:p>
    <w:p>
      <w:pPr>
        <w:spacing w:after="0" w:line="63" w:lineRule="exact"/>
        <w:rPr>
          <w:sz w:val="20"/>
          <w:szCs w:val="20"/>
          <w:color w:val="auto"/>
        </w:rPr>
      </w:pPr>
    </w:p>
    <w:p>
      <w:pPr>
        <w:jc w:val="both"/>
        <w:ind w:left="743" w:hanging="743"/>
        <w:spacing w:after="0" w:line="250" w:lineRule="auto"/>
        <w:tabs>
          <w:tab w:leader="none" w:pos="74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Nebraska</w:t>
      </w:r>
      <w:r>
        <w:rPr>
          <w:rFonts w:ascii="Arial" w:cs="Arial" w:eastAsia="Arial" w:hAnsi="Arial"/>
          <w:sz w:val="16"/>
          <w:szCs w:val="16"/>
          <w:color w:val="auto"/>
        </w:rPr>
        <w:t>. If Participant’s primary work location is in Nebraska as of the date Participant’s employment with the Company ceases, then after the last day of Participant’s employment the restrictions in Section 2 of this Restrictive Covenants Addendum will not apply. After Participant’s employment with the Company ceases, the restrictions of Section 3 of this Restrictive Covenants Addendum will only apply to the Company’s current Customers, and not to Prospective Customers. Also after Participant’s employment with the Company ceases, (1) the definition of “Customer” in Section 7(f) of this Restrictive Covenants Addendum shall only apply to any business or entity that is a current customer of the Company; (2) the definition of “Material Contact” in Section 7(h) of this Restrictive Covenants Addendum shall mean doing business and having personal contact with Customers during Participant’s employment with the Company; and (3) the definition of “Restricted Employee” in Section 4 of this Restrictive Covenants Addendum shall mean any employee of the Company whom Participant had material business-related contact during Participant’s employment with the Company, and who is actually employed by the Company at the time of the conduct prohibited by Section 4 of this Restrictive Covenants Addendum, or who were employed by the Company within three (3) months prior to the contact prohibited by Section 4 of this Restrictive Covenants Addendum.</w:t>
      </w:r>
    </w:p>
    <w:p>
      <w:pPr>
        <w:spacing w:after="0" w:line="267" w:lineRule="exact"/>
        <w:rPr>
          <w:rFonts w:ascii="Arial" w:cs="Arial" w:eastAsia="Arial" w:hAnsi="Arial"/>
          <w:sz w:val="16"/>
          <w:szCs w:val="16"/>
          <w:color w:val="auto"/>
        </w:rPr>
      </w:pPr>
    </w:p>
    <w:p>
      <w:pPr>
        <w:jc w:val="both"/>
        <w:ind w:left="743" w:hanging="743"/>
        <w:spacing w:after="0" w:line="266" w:lineRule="auto"/>
        <w:tabs>
          <w:tab w:leader="none" w:pos="74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Tennessee</w:t>
      </w:r>
      <w:r>
        <w:rPr>
          <w:rFonts w:ascii="Arial" w:cs="Arial" w:eastAsia="Arial" w:hAnsi="Arial"/>
          <w:sz w:val="16"/>
          <w:szCs w:val="16"/>
          <w:color w:val="auto"/>
        </w:rPr>
        <w:t>. If Participant’s primary work location is in Tennessee as of the date Participant’s employment with the Company ceases, Sections 3 and 4 of this Restrictive Covenants Addendum will prohibit Participant from engaging in the conduct described only in the “Restricted Territory.”</w:t>
      </w:r>
    </w:p>
    <w:p>
      <w:pPr>
        <w:spacing w:after="0" w:line="63" w:lineRule="exact"/>
        <w:rPr>
          <w:rFonts w:ascii="Arial" w:cs="Arial" w:eastAsia="Arial" w:hAnsi="Arial"/>
          <w:sz w:val="16"/>
          <w:szCs w:val="16"/>
          <w:color w:val="auto"/>
        </w:rPr>
      </w:pPr>
    </w:p>
    <w:p>
      <w:pPr>
        <w:jc w:val="both"/>
        <w:ind w:left="743" w:hanging="743"/>
        <w:spacing w:after="0" w:line="254" w:lineRule="auto"/>
        <w:tabs>
          <w:tab w:leader="none" w:pos="74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Virginia</w:t>
      </w:r>
      <w:r>
        <w:rPr>
          <w:rFonts w:ascii="Arial" w:cs="Arial" w:eastAsia="Arial" w:hAnsi="Arial"/>
          <w:sz w:val="16"/>
          <w:szCs w:val="16"/>
          <w:color w:val="auto"/>
        </w:rPr>
        <w:t>. If Participant’s primary work location is in Virginia, then: (i) at any time that Participant is a “low-wage employee” within the meaning of Virginia Code § 40.1-28.7:8, Section 2 of this Restrictive Covenants Addendum does not apply and Section 3 of this Restrictive Covenants Addendum is modified by deleting the phrase “or otherwise accept business from”; and (ii) as of the date Participant’s employment with the Company ceases, “Compete” as defined in Section 7(c), shall mean: providing the same or similar services or expertise Participant provided to the Company at any time during the twelve (12) months prior to cessation of Participant’s employment.</w:t>
      </w:r>
    </w:p>
    <w:p>
      <w:pPr>
        <w:spacing w:after="0" w:line="210" w:lineRule="exact"/>
        <w:rPr>
          <w:sz w:val="20"/>
          <w:szCs w:val="20"/>
          <w:color w:val="auto"/>
        </w:rPr>
      </w:pPr>
    </w:p>
    <w:p>
      <w:pPr>
        <w:ind w:left="4743"/>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10.2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PAYMENTUS HOLDINGS,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EQUITY INCENTIVE PLAN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AWARD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RESTRICTED STOCK AWARD GRANT</w:t>
      </w:r>
    </w:p>
    <w:p>
      <w:pPr>
        <w:spacing w:after="0" w:line="11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Unless otherwise defined herein, the terms defined in the Paymentus Holdings, Inc. 2021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will have the same defined meanings in this Restricted Stock Award Agreement, which includes the Notice of Restricted Stock Award Grant (the “</w:t>
      </w:r>
      <w:r>
        <w:rPr>
          <w:rFonts w:ascii="Arial" w:cs="Arial" w:eastAsia="Arial" w:hAnsi="Arial"/>
          <w:sz w:val="16"/>
          <w:szCs w:val="16"/>
          <w:b w:val="1"/>
          <w:bCs w:val="1"/>
          <w:color w:val="auto"/>
        </w:rPr>
        <w:t>Notice of Grant</w:t>
      </w:r>
      <w:r>
        <w:rPr>
          <w:rFonts w:ascii="Arial" w:cs="Arial" w:eastAsia="Arial" w:hAnsi="Arial"/>
          <w:sz w:val="16"/>
          <w:szCs w:val="16"/>
          <w:color w:val="auto"/>
        </w:rPr>
        <w:t xml:space="preserve">”), the Terms and Conditions of Restricted Stock Award Grant,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and all other exhibits, appendices, and addenda attached hereto (including any additional terms and conditions for Participant’s country set forth in Appendix 1 to the Terms and Conditions of Restricted Stock Award Grant (the “</w:t>
      </w:r>
      <w:r>
        <w:rPr>
          <w:rFonts w:ascii="Arial" w:cs="Arial" w:eastAsia="Arial" w:hAnsi="Arial"/>
          <w:sz w:val="16"/>
          <w:szCs w:val="16"/>
          <w:b w:val="1"/>
          <w:bCs w:val="1"/>
          <w:color w:val="auto"/>
        </w:rPr>
        <w:t>Country Addendum</w:t>
      </w:r>
      <w:r>
        <w:rPr>
          <w:rFonts w:ascii="Arial" w:cs="Arial" w:eastAsia="Arial" w:hAnsi="Arial"/>
          <w:sz w:val="16"/>
          <w:szCs w:val="16"/>
          <w:color w:val="auto"/>
        </w:rPr>
        <w:t>”) and restrictive covenants set forth in Appendix 2 to the Terms and Conditions of Restricted Stock Award Grant (the “</w:t>
      </w:r>
      <w:r>
        <w:rPr>
          <w:rFonts w:ascii="Arial" w:cs="Arial" w:eastAsia="Arial" w:hAnsi="Arial"/>
          <w:sz w:val="16"/>
          <w:szCs w:val="16"/>
          <w:b w:val="1"/>
          <w:bCs w:val="1"/>
          <w:color w:val="auto"/>
        </w:rPr>
        <w:t>Restrictive</w:t>
      </w:r>
      <w:r>
        <w:rPr>
          <w:rFonts w:ascii="Arial" w:cs="Arial" w:eastAsia="Arial" w:hAnsi="Arial"/>
          <w:sz w:val="16"/>
          <w:szCs w:val="16"/>
          <w:color w:val="auto"/>
        </w:rPr>
        <w:t xml:space="preserve"> </w:t>
      </w:r>
      <w:r>
        <w:rPr>
          <w:rFonts w:ascii="Arial" w:cs="Arial" w:eastAsia="Arial" w:hAnsi="Arial"/>
          <w:sz w:val="16"/>
          <w:szCs w:val="16"/>
          <w:b w:val="1"/>
          <w:bCs w:val="1"/>
          <w:color w:val="auto"/>
        </w:rPr>
        <w:t>Covenants Addendum</w:t>
      </w:r>
      <w:r>
        <w:rPr>
          <w:rFonts w:ascii="Arial" w:cs="Arial" w:eastAsia="Arial" w:hAnsi="Arial"/>
          <w:sz w:val="16"/>
          <w:szCs w:val="16"/>
          <w:color w:val="auto"/>
        </w:rPr>
        <w:t>”)) (together, the “</w:t>
      </w:r>
      <w:r>
        <w:rPr>
          <w:rFonts w:ascii="Arial" w:cs="Arial" w:eastAsia="Arial" w:hAnsi="Arial"/>
          <w:sz w:val="16"/>
          <w:szCs w:val="16"/>
          <w:b w:val="1"/>
          <w:bCs w:val="1"/>
          <w:color w:val="auto"/>
        </w:rPr>
        <w:t>Award Agreement</w:t>
      </w:r>
      <w:r>
        <w:rPr>
          <w:rFonts w:ascii="Arial" w:cs="Arial" w:eastAsia="Arial" w:hAnsi="Arial"/>
          <w:sz w:val="16"/>
          <w:szCs w:val="16"/>
          <w:color w:val="auto"/>
        </w:rPr>
        <w:t>”).</w:t>
      </w:r>
    </w:p>
    <w:p>
      <w:pPr>
        <w:spacing w:after="0" w:line="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Participant Name:</w:t>
      </w:r>
    </w:p>
    <w:p>
      <w:pPr>
        <w:spacing w:after="0" w:line="11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undersigned Participant has been granted a Restricted Stock Award, subject to the terms and conditions of the Plan and this Award Agreement, as follows:</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29210</wp:posOffset>
            </wp:positionV>
            <wp:extent cx="24860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3810</wp:posOffset>
            </wp:positionV>
            <wp:extent cx="24860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3810</wp:posOffset>
            </wp:positionV>
            <wp:extent cx="24860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3810</wp:posOffset>
            </wp:positionV>
            <wp:extent cx="24860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8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 xml:space="preserve">By Participant’s signature or by Participant’s acceptance of the Award Agreement via the Company’s designated electronic acceptance procedures and the signature of the representative of the Company below, Participant and the Company agree that this Restricted Stock Award is granted under and governed by the terms and conditions of the Plan and this Award Agreement, including the Terms and Conditions of Restricted Stock Award Grant,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and all other exhibits, appendices and addenda attached hereto (including any applicable Country Addendum and Restrictive Covenants Addendum),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sectPr>
          <w:pgSz w:w="11900" w:h="16838" w:orient="portrait"/>
          <w:cols w:equalWidth="0" w:num="1">
            <w:col w:w="11240"/>
          </w:cols>
          <w:pgMar w:left="320" w:top="1421" w:right="33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PARTICIPANT</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2143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2143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32143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32143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PAYMENTUS HOLDINGS, INC.</w:t>
      </w:r>
    </w:p>
    <w:p>
      <w:pPr>
        <w:spacing w:after="0" w:line="329" w:lineRule="exact"/>
        <w:rPr>
          <w:sz w:val="20"/>
          <w:szCs w:val="20"/>
          <w:color w:val="auto"/>
        </w:rPr>
      </w:pPr>
    </w:p>
    <w:p>
      <w:pPr>
        <w:jc w:val="center"/>
        <w:ind w:right="436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32061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2061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9" w:lineRule="exact"/>
        <w:rPr>
          <w:sz w:val="20"/>
          <w:szCs w:val="20"/>
          <w:color w:val="auto"/>
        </w:rPr>
      </w:pPr>
    </w:p>
    <w:p>
      <w:pPr>
        <w:jc w:val="center"/>
        <w:ind w:right="47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1644015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32061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ectPr>
          <w:pgSz w:w="11900" w:h="16838" w:orient="portrait"/>
          <w:cols w:equalWidth="0" w:num="2">
            <w:col w:w="5480" w:space="720"/>
            <w:col w:w="5040"/>
          </w:cols>
          <w:pgMar w:left="320" w:top="1421" w:right="339" w:bottom="1440" w:gutter="0" w:footer="0" w:header="0"/>
          <w:type w:val="continuous"/>
        </w:sectPr>
      </w:pPr>
    </w:p>
    <w:bookmarkStart w:id="42" w:name="page43"/>
    <w:bookmarkEnd w:id="42"/>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PAYMENTUS HOLDINGS,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EQUITY INCENTIVE PLAN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AWARD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TERMS AND CONDITIONS OF RESTRICTED STOCK AWARD GRANT</w:t>
      </w:r>
    </w:p>
    <w:p>
      <w:pPr>
        <w:spacing w:after="0" w:line="113" w:lineRule="exact"/>
        <w:rPr>
          <w:sz w:val="20"/>
          <w:szCs w:val="20"/>
          <w:color w:val="auto"/>
        </w:rPr>
      </w:pPr>
    </w:p>
    <w:p>
      <w:pPr>
        <w:jc w:val="both"/>
        <w:ind w:firstLine="757"/>
        <w:spacing w:after="0" w:line="254" w:lineRule="auto"/>
        <w:tabs>
          <w:tab w:leader="none" w:pos="1018"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Grant of Restricted Stock Award</w:t>
      </w:r>
      <w:r>
        <w:rPr>
          <w:rFonts w:ascii="Arial" w:cs="Arial" w:eastAsia="Arial" w:hAnsi="Arial"/>
          <w:sz w:val="16"/>
          <w:szCs w:val="16"/>
          <w:color w:val="auto"/>
        </w:rPr>
        <w:t>. Paymentus Holdings, Inc. (the “</w:t>
      </w:r>
      <w:r>
        <w:rPr>
          <w:rFonts w:ascii="Arial" w:cs="Arial" w:eastAsia="Arial" w:hAnsi="Arial"/>
          <w:sz w:val="16"/>
          <w:szCs w:val="16"/>
          <w:b w:val="1"/>
          <w:bCs w:val="1"/>
          <w:color w:val="auto"/>
        </w:rPr>
        <w:t>Company</w:t>
      </w:r>
      <w:r>
        <w:rPr>
          <w:rFonts w:ascii="Arial" w:cs="Arial" w:eastAsia="Arial" w:hAnsi="Arial"/>
          <w:sz w:val="16"/>
          <w:szCs w:val="16"/>
          <w:color w:val="auto"/>
        </w:rPr>
        <w:t>”) hereby grants to the individual (“</w:t>
      </w:r>
      <w:r>
        <w:rPr>
          <w:rFonts w:ascii="Arial" w:cs="Arial" w:eastAsia="Arial" w:hAnsi="Arial"/>
          <w:sz w:val="16"/>
          <w:szCs w:val="16"/>
          <w:b w:val="1"/>
          <w:bCs w:val="1"/>
          <w:color w:val="auto"/>
        </w:rPr>
        <w:t>Participant</w:t>
      </w:r>
      <w:r>
        <w:rPr>
          <w:rFonts w:ascii="Arial" w:cs="Arial" w:eastAsia="Arial" w:hAnsi="Arial"/>
          <w:sz w:val="16"/>
          <w:szCs w:val="16"/>
          <w:color w:val="auto"/>
        </w:rPr>
        <w:t>”) named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Restricted Stock Award Grant of this Award Agreement (the “</w:t>
      </w:r>
      <w:r>
        <w:rPr>
          <w:rFonts w:ascii="Arial" w:cs="Arial" w:eastAsia="Arial" w:hAnsi="Arial"/>
          <w:sz w:val="16"/>
          <w:szCs w:val="16"/>
          <w:b w:val="1"/>
          <w:bCs w:val="1"/>
          <w:color w:val="auto"/>
        </w:rPr>
        <w:t>Notice of Grant</w:t>
      </w:r>
      <w:r>
        <w:rPr>
          <w:rFonts w:ascii="Arial" w:cs="Arial" w:eastAsia="Arial" w:hAnsi="Arial"/>
          <w:sz w:val="16"/>
          <w:szCs w:val="16"/>
          <w:color w:val="auto"/>
        </w:rPr>
        <w:t>”) under the Plan, on behalf of the Company and any Parent or Subsidiary by which Participant is employed, an award of the number of shares of Restricted Stock set forth in the Notice of Grant, subject to the terms and conditions of this Award Agreement and the Plan, which is incorporated herein by reference. The shares of Restricted Stock shall be issued in the form of shares of Class A Common stock (the “</w:t>
      </w:r>
      <w:r>
        <w:rPr>
          <w:rFonts w:ascii="Arial" w:cs="Arial" w:eastAsia="Arial" w:hAnsi="Arial"/>
          <w:sz w:val="16"/>
          <w:szCs w:val="16"/>
          <w:b w:val="1"/>
          <w:bCs w:val="1"/>
          <w:color w:val="auto"/>
        </w:rPr>
        <w:t>Shares</w:t>
      </w:r>
      <w:r>
        <w:rPr>
          <w:rFonts w:ascii="Arial" w:cs="Arial" w:eastAsia="Arial" w:hAnsi="Arial"/>
          <w:sz w:val="16"/>
          <w:szCs w:val="16"/>
          <w:color w:val="auto"/>
        </w:rPr>
        <w:t>”) as soon as reasonably practicable after the Grant Date. Subject to Section 20 of the Plan, in the event of a conflict between the terms and conditions of the Plan and this Award Agreement, the terms and conditions of the Plan shall prevail.</w:t>
      </w:r>
    </w:p>
    <w:p>
      <w:pPr>
        <w:spacing w:after="0" w:line="73" w:lineRule="exact"/>
        <w:rPr>
          <w:rFonts w:ascii="Arial" w:cs="Arial" w:eastAsia="Arial" w:hAnsi="Arial"/>
          <w:sz w:val="16"/>
          <w:szCs w:val="16"/>
          <w:b w:val="1"/>
          <w:bCs w:val="1"/>
          <w:color w:val="auto"/>
        </w:rPr>
      </w:pPr>
    </w:p>
    <w:p>
      <w:pPr>
        <w:jc w:val="both"/>
        <w:ind w:firstLine="757"/>
        <w:spacing w:after="0" w:line="254" w:lineRule="auto"/>
        <w:tabs>
          <w:tab w:leader="none" w:pos="1018"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Vesting Schedule</w:t>
      </w:r>
      <w:r>
        <w:rPr>
          <w:rFonts w:ascii="Arial" w:cs="Arial" w:eastAsia="Arial" w:hAnsi="Arial"/>
          <w:sz w:val="16"/>
          <w:szCs w:val="16"/>
          <w:color w:val="auto"/>
        </w:rPr>
        <w:t>. Except as provided in Section 3, and subject to Section 4, the Restricted Stock Award awarded by this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the portion of the Restricted Stock Award scheduled to vest on a certain date or upon the occurrence of a certain condition will not vest in accordance with any of the provisions of this Award Agreement, unless Participant will have been continuously a Service Provider from the Grant Date until the date such vesting occurs.</w:t>
      </w:r>
    </w:p>
    <w:p>
      <w:pPr>
        <w:spacing w:after="0" w:line="73" w:lineRule="exact"/>
        <w:rPr>
          <w:rFonts w:ascii="Arial" w:cs="Arial" w:eastAsia="Arial" w:hAnsi="Arial"/>
          <w:sz w:val="16"/>
          <w:szCs w:val="16"/>
          <w:b w:val="1"/>
          <w:bCs w:val="1"/>
          <w:color w:val="auto"/>
        </w:rPr>
      </w:pPr>
    </w:p>
    <w:p>
      <w:pPr>
        <w:ind w:left="1020" w:hanging="263"/>
        <w:spacing w:after="0"/>
        <w:tabs>
          <w:tab w:leader="none" w:pos="102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Vesting</w:t>
      </w:r>
      <w:r>
        <w:rPr>
          <w:rFonts w:ascii="Arial" w:cs="Arial" w:eastAsia="Arial" w:hAnsi="Arial"/>
          <w:sz w:val="16"/>
          <w:szCs w:val="16"/>
          <w:color w:val="auto"/>
        </w:rPr>
        <w:t>.</w:t>
      </w:r>
    </w:p>
    <w:p>
      <w:pPr>
        <w:spacing w:after="0" w:line="113" w:lineRule="exact"/>
        <w:rPr>
          <w:rFonts w:ascii="Arial" w:cs="Arial" w:eastAsia="Arial" w:hAnsi="Arial"/>
          <w:sz w:val="16"/>
          <w:szCs w:val="16"/>
          <w:b w:val="1"/>
          <w:bCs w:val="1"/>
          <w:color w:val="auto"/>
        </w:rPr>
      </w:pPr>
    </w:p>
    <w:p>
      <w:pPr>
        <w:jc w:val="both"/>
        <w:ind w:right="20" w:firstLine="1505"/>
        <w:spacing w:after="0" w:line="266" w:lineRule="auto"/>
        <w:tabs>
          <w:tab w:leader="none" w:pos="2036" w:val="left"/>
        </w:tabs>
        <w:numPr>
          <w:ilvl w:val="1"/>
          <w:numId w:val="29"/>
        </w:numPr>
        <w:rPr>
          <w:rFonts w:ascii="Arial" w:cs="Arial" w:eastAsia="Arial" w:hAnsi="Arial"/>
          <w:sz w:val="16"/>
          <w:szCs w:val="16"/>
          <w:color w:val="auto"/>
        </w:rPr>
      </w:pPr>
      <w:r>
        <w:rPr>
          <w:rFonts w:ascii="Arial" w:cs="Arial" w:eastAsia="Arial" w:hAnsi="Arial"/>
          <w:sz w:val="16"/>
          <w:szCs w:val="16"/>
          <w:b w:val="1"/>
          <w:bCs w:val="1"/>
          <w:color w:val="auto"/>
        </w:rPr>
        <w:t>Discretionary Acceleration</w:t>
      </w:r>
      <w:r>
        <w:rPr>
          <w:rFonts w:ascii="Arial" w:cs="Arial" w:eastAsia="Arial" w:hAnsi="Arial"/>
          <w:sz w:val="16"/>
          <w:szCs w:val="16"/>
          <w:color w:val="auto"/>
        </w:rPr>
        <w:t>. The Administrator, in its discretion, may accelerate the vesting of the balance, or some lesser</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the balance, of the unvested Restricted Stock Award at any time, subject to the terms of the Plan. If so accelerated, such portion of the Restricted Stock Award will be considered as having vested as of the date specified by the Administrator.</w:t>
      </w:r>
    </w:p>
    <w:p>
      <w:pPr>
        <w:spacing w:after="0" w:line="63" w:lineRule="exact"/>
        <w:rPr>
          <w:rFonts w:ascii="Arial" w:cs="Arial" w:eastAsia="Arial" w:hAnsi="Arial"/>
          <w:sz w:val="16"/>
          <w:szCs w:val="16"/>
          <w:color w:val="auto"/>
        </w:rPr>
      </w:pPr>
    </w:p>
    <w:p>
      <w:pPr>
        <w:ind w:left="2040" w:hanging="535"/>
        <w:spacing w:after="0"/>
        <w:tabs>
          <w:tab w:leader="none" w:pos="2040" w:val="left"/>
        </w:tabs>
        <w:numPr>
          <w:ilvl w:val="1"/>
          <w:numId w:val="29"/>
        </w:numPr>
        <w:rPr>
          <w:rFonts w:ascii="Arial" w:cs="Arial" w:eastAsia="Arial" w:hAnsi="Arial"/>
          <w:sz w:val="16"/>
          <w:szCs w:val="16"/>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jc w:val="both"/>
        <w:ind w:firstLine="2254"/>
        <w:spacing w:after="0" w:line="266" w:lineRule="auto"/>
        <w:tabs>
          <w:tab w:leader="none" w:pos="2546" w:val="left"/>
        </w:tabs>
        <w:numPr>
          <w:ilvl w:val="2"/>
          <w:numId w:val="29"/>
        </w:numPr>
        <w:rPr>
          <w:rFonts w:ascii="Arial" w:cs="Arial" w:eastAsia="Arial" w:hAnsi="Arial"/>
          <w:sz w:val="16"/>
          <w:szCs w:val="16"/>
          <w:color w:val="auto"/>
        </w:rPr>
      </w:pPr>
      <w:r>
        <w:rPr>
          <w:rFonts w:ascii="Arial" w:cs="Arial" w:eastAsia="Arial" w:hAnsi="Arial"/>
          <w:sz w:val="16"/>
          <w:szCs w:val="16"/>
          <w:color w:val="auto"/>
        </w:rPr>
        <w:t>If Participant is a U.S. taxpayer, the issuance of Shares pursuant to this Award Agreement (including any discretionary acceleration under Section 3(b)) shall in all cases be made at a time or in a manner that is exempt from, or complies with, Section 409A. The prior sentence may be superseded in a future agreement or amendment to this Award Agreement only by direct and specific reference to such sentence.</w:t>
      </w:r>
    </w:p>
    <w:p>
      <w:pPr>
        <w:spacing w:after="0" w:line="63" w:lineRule="exact"/>
        <w:rPr>
          <w:rFonts w:ascii="Arial" w:cs="Arial" w:eastAsia="Arial" w:hAnsi="Arial"/>
          <w:sz w:val="16"/>
          <w:szCs w:val="16"/>
          <w:color w:val="auto"/>
        </w:rPr>
      </w:pPr>
    </w:p>
    <w:p>
      <w:pPr>
        <w:jc w:val="both"/>
        <w:ind w:firstLine="2254"/>
        <w:spacing w:after="0" w:line="251" w:lineRule="auto"/>
        <w:tabs>
          <w:tab w:leader="none" w:pos="2546" w:val="left"/>
        </w:tabs>
        <w:numPr>
          <w:ilvl w:val="2"/>
          <w:numId w:val="29"/>
        </w:numPr>
        <w:rPr>
          <w:rFonts w:ascii="Arial" w:cs="Arial" w:eastAsia="Arial" w:hAnsi="Arial"/>
          <w:sz w:val="16"/>
          <w:szCs w:val="16"/>
          <w:color w:val="auto"/>
        </w:rPr>
      </w:pPr>
      <w:r>
        <w:rPr>
          <w:rFonts w:ascii="Arial" w:cs="Arial" w:eastAsia="Arial" w:hAnsi="Arial"/>
          <w:sz w:val="16"/>
          <w:szCs w:val="16"/>
          <w:color w:val="auto"/>
        </w:rPr>
        <w:t>Notwithstanding anything in the Plan or this Award Agreement or any other agreement (whether entered into before, on or after the Grant Date), if the vesting of the balance, or some lesser portion of the balance, of the Restricted Stock Award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vesting of such accelerated Restricted Stock Award will result in the imposition of additional tax under Section 409A if vested on or within the six (6) month period following the cessation of Participant’s status as a Service Provider, then the vesting of such accelerated Restricted Stock Award will not occur until the date six (6) months and one (1) day following the date of cessation of Participant’s status as a Service Provider, unless Participant dies following his or her termination as a Service Provider, in which case, the Shares will be issued to Participant’s estate as soon as practicable following his or her death.</w:t>
      </w:r>
    </w:p>
    <w:p>
      <w:pPr>
        <w:spacing w:after="0" w:line="77" w:lineRule="exact"/>
        <w:rPr>
          <w:rFonts w:ascii="Arial" w:cs="Arial" w:eastAsia="Arial" w:hAnsi="Arial"/>
          <w:sz w:val="16"/>
          <w:szCs w:val="16"/>
          <w:color w:val="auto"/>
        </w:rPr>
      </w:pPr>
    </w:p>
    <w:p>
      <w:pPr>
        <w:jc w:val="both"/>
        <w:ind w:firstLine="2254"/>
        <w:spacing w:after="0" w:line="252" w:lineRule="auto"/>
        <w:tabs>
          <w:tab w:leader="none" w:pos="2546" w:val="left"/>
        </w:tabs>
        <w:numPr>
          <w:ilvl w:val="2"/>
          <w:numId w:val="29"/>
        </w:numPr>
        <w:rPr>
          <w:rFonts w:ascii="Arial" w:cs="Arial" w:eastAsia="Arial" w:hAnsi="Arial"/>
          <w:sz w:val="16"/>
          <w:szCs w:val="16"/>
          <w:color w:val="auto"/>
        </w:rPr>
      </w:pPr>
      <w:r>
        <w:rPr>
          <w:rFonts w:ascii="Arial" w:cs="Arial" w:eastAsia="Arial" w:hAnsi="Arial"/>
          <w:sz w:val="16"/>
          <w:szCs w:val="16"/>
          <w:color w:val="auto"/>
        </w:rPr>
        <w:t>It is the intent of this Award Agreement that it and all payments and benefits to U.S. taxpayers hereunder be exempt from, or comply with, the requirements of Section 409A so that the Shares issuable pursuant to this Award Agreement will not be subject to the additional tax imposed under Section 409A, and any ambiguities or ambiguous terms herein will be interpreted to be so exempt or so comply. Each issuance of Shares under this Award Agreement is intended to constitute a separate issuance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74" w:lineRule="exact"/>
        <w:rPr>
          <w:rFonts w:ascii="Arial" w:cs="Arial" w:eastAsia="Arial" w:hAnsi="Arial"/>
          <w:sz w:val="16"/>
          <w:szCs w:val="16"/>
          <w:color w:val="auto"/>
        </w:rPr>
      </w:pPr>
    </w:p>
    <w:p>
      <w:pPr>
        <w:jc w:val="both"/>
        <w:ind w:firstLine="757"/>
        <w:spacing w:after="0" w:line="266" w:lineRule="auto"/>
        <w:tabs>
          <w:tab w:leader="none" w:pos="1018"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Forfeiture Upon Termination as a Service Provider</w:t>
      </w:r>
      <w:r>
        <w:rPr>
          <w:rFonts w:ascii="Arial" w:cs="Arial" w:eastAsia="Arial" w:hAnsi="Arial"/>
          <w:sz w:val="16"/>
          <w:szCs w:val="16"/>
          <w:color w:val="auto"/>
        </w:rPr>
        <w:t>. Unless specifically provided otherwise in this Award Agreement or other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authorized by the Administrator between Participant and the Company or any Parent or Subsidiary of the Company, as applicable, governing the terms of this Award, if Participant ceases to be a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Provider for any or no reason, the then-unvested portion of the Restricted Stock Award will thereupon be forfeited at no cost to the Company and Participant will have no further rights thereunder.</w:t>
      </w:r>
    </w:p>
    <w:p>
      <w:pPr>
        <w:spacing w:after="0" w:line="48" w:lineRule="exact"/>
        <w:rPr>
          <w:sz w:val="20"/>
          <w:szCs w:val="20"/>
          <w:color w:val="auto"/>
        </w:rPr>
      </w:pPr>
    </w:p>
    <w:p>
      <w:pPr>
        <w:jc w:val="both"/>
        <w:ind w:firstLine="757"/>
        <w:spacing w:after="0" w:line="254" w:lineRule="auto"/>
        <w:tabs>
          <w:tab w:leader="none" w:pos="1018"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Death of Participant</w:t>
      </w:r>
      <w:r>
        <w:rPr>
          <w:rFonts w:ascii="Arial" w:cs="Arial" w:eastAsia="Arial" w:hAnsi="Arial"/>
          <w:sz w:val="16"/>
          <w:szCs w:val="16"/>
          <w:color w:val="auto"/>
        </w:rPr>
        <w:t>. Any distribution or delivery to be made to Participant under this Award Agreement, if Participant is then deceased,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made to Participant’s designated beneficiary: provided, however, that the Administrator has permitted the designation and such designation is valid under Applicable Laws. If no beneficiary survives Participant, or if the designation was not permitted by the Administrator or not valid under Applicable Laws, distribution or delivery shall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73" w:lineRule="exact"/>
        <w:rPr>
          <w:rFonts w:ascii="Arial" w:cs="Arial" w:eastAsia="Arial" w:hAnsi="Arial"/>
          <w:sz w:val="16"/>
          <w:szCs w:val="16"/>
          <w:b w:val="1"/>
          <w:bCs w:val="1"/>
          <w:color w:val="auto"/>
        </w:rPr>
      </w:pPr>
    </w:p>
    <w:p>
      <w:pPr>
        <w:ind w:left="1020" w:hanging="263"/>
        <w:spacing w:after="0"/>
        <w:tabs>
          <w:tab w:leader="none" w:pos="102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Tax Obligations</w:t>
      </w:r>
    </w:p>
    <w:p>
      <w:pPr>
        <w:spacing w:after="0" w:line="113" w:lineRule="exact"/>
        <w:rPr>
          <w:rFonts w:ascii="Arial" w:cs="Arial" w:eastAsia="Arial" w:hAnsi="Arial"/>
          <w:sz w:val="16"/>
          <w:szCs w:val="16"/>
          <w:b w:val="1"/>
          <w:bCs w:val="1"/>
          <w:color w:val="auto"/>
        </w:rPr>
      </w:pPr>
    </w:p>
    <w:p>
      <w:pPr>
        <w:jc w:val="both"/>
        <w:ind w:firstLine="1505"/>
        <w:spacing w:after="0" w:line="249" w:lineRule="auto"/>
        <w:tabs>
          <w:tab w:leader="none" w:pos="2036" w:val="left"/>
        </w:tabs>
        <w:numPr>
          <w:ilvl w:val="1"/>
          <w:numId w:val="30"/>
        </w:numPr>
        <w:rPr>
          <w:rFonts w:ascii="Arial" w:cs="Arial" w:eastAsia="Arial" w:hAnsi="Arial"/>
          <w:sz w:val="16"/>
          <w:szCs w:val="16"/>
          <w:color w:val="auto"/>
        </w:rPr>
      </w:pPr>
      <w:r>
        <w:rPr>
          <w:rFonts w:ascii="Arial" w:cs="Arial" w:eastAsia="Arial" w:hAnsi="Arial"/>
          <w:sz w:val="16"/>
          <w:szCs w:val="16"/>
          <w:b w:val="1"/>
          <w:bCs w:val="1"/>
          <w:color w:val="auto"/>
        </w:rPr>
        <w:t>Responsibility for Taxes</w:t>
      </w:r>
      <w:r>
        <w:rPr>
          <w:rFonts w:ascii="Arial" w:cs="Arial" w:eastAsia="Arial" w:hAnsi="Arial"/>
          <w:sz w:val="16"/>
          <w:szCs w:val="16"/>
          <w:color w:val="auto"/>
        </w:rPr>
        <w:t>. Participant acknowledges that, regardless of any action taken by the Company or, if different,</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employer or any Parent or Subsidiary of the Company to which Participant is providing services (together, the “</w:t>
      </w:r>
      <w:r>
        <w:rPr>
          <w:rFonts w:ascii="Arial" w:cs="Arial" w:eastAsia="Arial" w:hAnsi="Arial"/>
          <w:sz w:val="16"/>
          <w:szCs w:val="16"/>
          <w:b w:val="1"/>
          <w:bCs w:val="1"/>
          <w:color w:val="auto"/>
        </w:rPr>
        <w:t>Service Recipients</w:t>
      </w:r>
      <w:r>
        <w:rPr>
          <w:rFonts w:ascii="Arial" w:cs="Arial" w:eastAsia="Arial" w:hAnsi="Arial"/>
          <w:sz w:val="16"/>
          <w:szCs w:val="16"/>
          <w:color w:val="auto"/>
        </w:rPr>
        <w:t>”), the ultimate liability for any tax and/or social insurance liability obligations and requirements in connection with the Restricted Stock Award, including, without limitation, (i) all federal, state, and local taxes (including Participant’s Federal Insurance Contributions Act (FICA) obligations) that are required to be withheld by any Service Recipient or other tax-related items related to Participant’s participation in the Plan and legally applicable or deemed legally applicable to Participant, (ii) Participant’s and, to the extent required by any Service Recipient, the Service Recipient’s fringe benefit tax liability, if any, associated with the grant or vesting of the Restricted Stock Award or sale of Shares, and (iii) any other Service Recipient taxes the responsibility for which Participant has, or has agreed to bear, with respect to the Restricted Stock Award (or issuance of Shares thereunder) (collectively, the “</w:t>
      </w:r>
      <w:r>
        <w:rPr>
          <w:rFonts w:ascii="Arial" w:cs="Arial" w:eastAsia="Arial" w:hAnsi="Arial"/>
          <w:sz w:val="16"/>
          <w:szCs w:val="16"/>
          <w:b w:val="1"/>
          <w:bCs w:val="1"/>
          <w:color w:val="auto"/>
        </w:rPr>
        <w:t>Tax Obligations</w:t>
      </w:r>
      <w:r>
        <w:rPr>
          <w:rFonts w:ascii="Arial" w:cs="Arial" w:eastAsia="Arial" w:hAnsi="Arial"/>
          <w:sz w:val="16"/>
          <w:szCs w:val="16"/>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Award, including, but not limited to, the grant or vesting of the Restricted Stock Award, the subsequent sale of Shares acquired pursuant to such issuance and the receipt of any dividends or other distributions, and (B) makes any commitment to or is under any obligation to structure the terms of the grant or any aspect of the Restricted Stock Award to reduce or eliminate Participant’s liability for Tax Obligations or achieve any particular tax result. Further, if Participant is subject to Tax Obligations in more than one jurisdiction, Participant acknowledges that the applicable Service Recipient(s) (or former service recipient(s), as applicable) may be required to withhold or account for Withholding Obligations (as defined below) in more than one jurisdiction.</w:t>
      </w:r>
    </w:p>
    <w:p>
      <w:pPr>
        <w:spacing w:after="0" w:line="79" w:lineRule="exact"/>
        <w:rPr>
          <w:rFonts w:ascii="Arial" w:cs="Arial" w:eastAsia="Arial" w:hAnsi="Arial"/>
          <w:sz w:val="16"/>
          <w:szCs w:val="16"/>
          <w:color w:val="auto"/>
        </w:rPr>
      </w:pPr>
    </w:p>
    <w:p>
      <w:pPr>
        <w:jc w:val="both"/>
        <w:ind w:firstLine="1505"/>
        <w:spacing w:after="0" w:line="248" w:lineRule="auto"/>
        <w:tabs>
          <w:tab w:leader="none" w:pos="2036" w:val="left"/>
        </w:tabs>
        <w:numPr>
          <w:ilvl w:val="1"/>
          <w:numId w:val="30"/>
        </w:numPr>
        <w:rPr>
          <w:rFonts w:ascii="Arial" w:cs="Arial" w:eastAsia="Arial" w:hAnsi="Arial"/>
          <w:sz w:val="16"/>
          <w:szCs w:val="16"/>
          <w:color w:val="auto"/>
        </w:rPr>
      </w:pPr>
      <w:r>
        <w:rPr>
          <w:rFonts w:ascii="Arial" w:cs="Arial" w:eastAsia="Arial" w:hAnsi="Arial"/>
          <w:sz w:val="16"/>
          <w:szCs w:val="16"/>
          <w:b w:val="1"/>
          <w:bCs w:val="1"/>
          <w:color w:val="auto"/>
        </w:rPr>
        <w:t>Tax Withholding</w:t>
      </w:r>
      <w:r>
        <w:rPr>
          <w:rFonts w:ascii="Arial" w:cs="Arial" w:eastAsia="Arial" w:hAnsi="Arial"/>
          <w:sz w:val="16"/>
          <w:szCs w:val="16"/>
          <w:color w:val="auto"/>
        </w:rPr>
        <w:t>. Pursuant to such procedures as the Administrator may specify from time to time, the applicable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Recipient(s) will withhold the amount required to be withheld for the payment of Tax Obligations (the “</w:t>
      </w:r>
      <w:r>
        <w:rPr>
          <w:rFonts w:ascii="Arial" w:cs="Arial" w:eastAsia="Arial" w:hAnsi="Arial"/>
          <w:sz w:val="16"/>
          <w:szCs w:val="16"/>
          <w:b w:val="1"/>
          <w:bCs w:val="1"/>
          <w:color w:val="auto"/>
        </w:rPr>
        <w:t>Withholding Obligations</w:t>
      </w:r>
      <w:r>
        <w:rPr>
          <w:rFonts w:ascii="Arial" w:cs="Arial" w:eastAsia="Arial" w:hAnsi="Arial"/>
          <w:sz w:val="16"/>
          <w:szCs w:val="16"/>
          <w:color w:val="auto"/>
        </w:rPr>
        <w:t>”). The Administrator, in its sole discretion and pursuant to such procedures as it may specify from time to time, may permit Participant to satisfy such Withholding Obligations, in whole or in part (without limitation), if permissible by Applicable Laws,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Arial" w:cs="Arial" w:eastAsia="Arial" w:hAnsi="Arial"/>
          <w:sz w:val="16"/>
          <w:szCs w:val="16"/>
          <w:b w:val="1"/>
          <w:bCs w:val="1"/>
          <w:color w:val="auto"/>
        </w:rPr>
        <w:t>Net Share Withholding</w:t>
      </w:r>
      <w:r>
        <w:rPr>
          <w:rFonts w:ascii="Arial" w:cs="Arial" w:eastAsia="Arial" w:hAnsi="Arial"/>
          <w:sz w:val="16"/>
          <w:szCs w:val="16"/>
          <w:color w:val="auto"/>
        </w:rPr>
        <w:t>”), (iii) withholding the amount of such Withholding Obligations from Participant’s wages or other cash compensation payable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Arial" w:cs="Arial" w:eastAsia="Arial" w:hAnsi="Arial"/>
          <w:sz w:val="16"/>
          <w:szCs w:val="16"/>
          <w:b w:val="1"/>
          <w:bCs w:val="1"/>
          <w:color w:val="auto"/>
        </w:rPr>
        <w:t>Sell to Cover</w:t>
      </w:r>
      <w:r>
        <w:rPr>
          <w:rFonts w:ascii="Arial" w:cs="Arial" w:eastAsia="Arial" w:hAnsi="Arial"/>
          <w:sz w:val="16"/>
          <w:szCs w:val="16"/>
          <w:color w:val="auto"/>
        </w:rPr>
        <w:t>”), or (vi) such other means as the Administrator deems appropriate. If the Withholding Obligations are satisfied by Net Share Withholding, for tax purposes, Participant is deemed to have been issued the full number of Shares subject to the vested Restricted Stock Award,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90" w:lineRule="exact"/>
        <w:rPr>
          <w:sz w:val="20"/>
          <w:szCs w:val="20"/>
          <w:color w:val="auto"/>
        </w:rPr>
      </w:pPr>
    </w:p>
    <w:p>
      <w:pPr>
        <w:jc w:val="both"/>
        <w:ind w:firstLine="1505"/>
        <w:spacing w:after="0" w:line="256" w:lineRule="auto"/>
        <w:tabs>
          <w:tab w:leader="none" w:pos="2036" w:val="left"/>
        </w:tabs>
        <w:numPr>
          <w:ilvl w:val="1"/>
          <w:numId w:val="31"/>
        </w:numPr>
        <w:rPr>
          <w:rFonts w:ascii="Arial" w:cs="Arial" w:eastAsia="Arial" w:hAnsi="Arial"/>
          <w:sz w:val="16"/>
          <w:szCs w:val="16"/>
          <w:color w:val="auto"/>
        </w:rPr>
      </w:pPr>
      <w:r>
        <w:rPr>
          <w:rFonts w:ascii="Arial" w:cs="Arial" w:eastAsia="Arial" w:hAnsi="Arial"/>
          <w:sz w:val="16"/>
          <w:szCs w:val="16"/>
          <w:b w:val="1"/>
          <w:bCs w:val="1"/>
          <w:color w:val="auto"/>
        </w:rPr>
        <w:t>Tax Consequences</w:t>
      </w:r>
      <w:r>
        <w:rPr>
          <w:rFonts w:ascii="Arial" w:cs="Arial" w:eastAsia="Arial" w:hAnsi="Arial"/>
          <w:sz w:val="16"/>
          <w:szCs w:val="16"/>
          <w:color w:val="auto"/>
        </w:rPr>
        <w:t>. Participant has reviewed with his or her own tax advisers the U.S. federal, state, local and non-U.S. tax</w:t>
      </w:r>
      <w:r>
        <w:rPr>
          <w:rFonts w:ascii="Arial" w:cs="Arial" w:eastAsia="Arial" w:hAnsi="Arial"/>
          <w:sz w:val="16"/>
          <w:szCs w:val="16"/>
          <w:b w:val="1"/>
          <w:bCs w:val="1"/>
          <w:color w:val="auto"/>
        </w:rPr>
        <w:t xml:space="preserve"> </w:t>
      </w:r>
      <w:r>
        <w:rPr>
          <w:rFonts w:ascii="Arial" w:cs="Arial" w:eastAsia="Arial" w:hAnsi="Arial"/>
          <w:sz w:val="16"/>
          <w:szCs w:val="16"/>
          <w:color w:val="auto"/>
        </w:rPr>
        <w:t>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71" w:lineRule="exact"/>
        <w:rPr>
          <w:rFonts w:ascii="Arial" w:cs="Arial" w:eastAsia="Arial" w:hAnsi="Arial"/>
          <w:sz w:val="16"/>
          <w:szCs w:val="16"/>
          <w:color w:val="auto"/>
        </w:rPr>
      </w:pPr>
    </w:p>
    <w:p>
      <w:pPr>
        <w:jc w:val="both"/>
        <w:ind w:firstLine="1505"/>
        <w:spacing w:after="0" w:line="253" w:lineRule="auto"/>
        <w:tabs>
          <w:tab w:leader="none" w:pos="2036" w:val="left"/>
        </w:tabs>
        <w:numPr>
          <w:ilvl w:val="1"/>
          <w:numId w:val="31"/>
        </w:numPr>
        <w:rPr>
          <w:rFonts w:ascii="Arial" w:cs="Arial" w:eastAsia="Arial" w:hAnsi="Arial"/>
          <w:sz w:val="16"/>
          <w:szCs w:val="16"/>
          <w:color w:val="auto"/>
        </w:rPr>
      </w:pPr>
      <w:r>
        <w:rPr>
          <w:rFonts w:ascii="Arial" w:cs="Arial" w:eastAsia="Arial" w:hAnsi="Arial"/>
          <w:sz w:val="16"/>
          <w:szCs w:val="16"/>
          <w:b w:val="1"/>
          <w:bCs w:val="1"/>
          <w:color w:val="auto"/>
        </w:rPr>
        <w:t>Company’s Obligation to Deliver Shares</w:t>
      </w:r>
      <w:r>
        <w:rPr>
          <w:rFonts w:ascii="Arial" w:cs="Arial" w:eastAsia="Arial" w:hAnsi="Arial"/>
          <w:sz w:val="16"/>
          <w:szCs w:val="16"/>
          <w:color w:val="auto"/>
        </w:rPr>
        <w:t>. For clarification purposes, in no event will the Company issue Participant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portion of the Restricted Stock Award is scheduled to vest pursuant to Sections 2 or 3 or Participant’s Withholding Obligations otherwise become due, Participant will forfeit such portion of the Restricted Stock Award to which Participant’s Withholding Obligation relates and any right to receive Shares thereunder and such portion of the Restricted Stock Award will be returned to the Company at no cost to the Company. Participant acknowledges and agrees that the Company may permanently refuse to issue or deliver the Shares if such Withholding Obligations are not satisfied at the time they are due.</w:t>
      </w:r>
    </w:p>
    <w:p>
      <w:pPr>
        <w:spacing w:after="0" w:line="73" w:lineRule="exact"/>
        <w:rPr>
          <w:rFonts w:ascii="Arial" w:cs="Arial" w:eastAsia="Arial" w:hAnsi="Arial"/>
          <w:sz w:val="16"/>
          <w:szCs w:val="16"/>
          <w:color w:val="auto"/>
        </w:rPr>
      </w:pPr>
    </w:p>
    <w:p>
      <w:pPr>
        <w:jc w:val="both"/>
        <w:ind w:firstLine="757"/>
        <w:spacing w:after="0" w:line="266" w:lineRule="auto"/>
        <w:tabs>
          <w:tab w:leader="none" w:pos="1018"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Rights as Stockholder</w:t>
      </w:r>
      <w:r>
        <w:rPr>
          <w:rFonts w:ascii="Arial" w:cs="Arial" w:eastAsia="Arial" w:hAnsi="Arial"/>
          <w:sz w:val="16"/>
          <w:szCs w:val="16"/>
          <w:color w:val="auto"/>
        </w:rPr>
        <w:t>. Neither Participant nor any person claiming under or through Participant will have any of the rights or privileges of a</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of the Company in respect of any unvested shares of Restricted Stock issued hereunder. Participant will have all the rights of a stockholder of the Company with respect to voting and receipt of dividends and distributions on any vested shares of Restricted Stock.</w:t>
      </w:r>
    </w:p>
    <w:p>
      <w:pPr>
        <w:spacing w:after="0" w:line="63" w:lineRule="exact"/>
        <w:rPr>
          <w:rFonts w:ascii="Arial" w:cs="Arial" w:eastAsia="Arial" w:hAnsi="Arial"/>
          <w:sz w:val="16"/>
          <w:szCs w:val="16"/>
          <w:b w:val="1"/>
          <w:bCs w:val="1"/>
          <w:color w:val="auto"/>
        </w:rPr>
      </w:pPr>
    </w:p>
    <w:p>
      <w:pPr>
        <w:jc w:val="both"/>
        <w:ind w:firstLine="757"/>
        <w:spacing w:after="0" w:line="250" w:lineRule="auto"/>
        <w:tabs>
          <w:tab w:leader="none" w:pos="1018"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No Guarantee of Continued Service</w:t>
      </w:r>
      <w:r>
        <w:rPr>
          <w:rFonts w:ascii="Arial" w:cs="Arial" w:eastAsia="Arial" w:hAnsi="Arial"/>
          <w:sz w:val="16"/>
          <w:szCs w:val="16"/>
          <w:color w:val="auto"/>
        </w:rPr>
        <w:t>. PARTICIPANT ACKNOWLEDGES AND AGREES THAT THE VESTING OF THE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AWARD PURSUANT TO THE VESTING SCHEDULE HEREOF IS EARNED ONLY BY CONTINUING AS A SERVICE PROVIDER, WHICH UNLESS PROVIDED OTHERWISE UNDER APPLICABLE LAWS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SHALL NOT BE INTERPRETED AS FORMING OR AMENDING AN EMPLOYMENT OR SERVICE CONTRACT,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81" w:lineRule="exact"/>
        <w:rPr>
          <w:rFonts w:ascii="Arial" w:cs="Arial" w:eastAsia="Arial" w:hAnsi="Arial"/>
          <w:sz w:val="16"/>
          <w:szCs w:val="16"/>
          <w:b w:val="1"/>
          <w:bCs w:val="1"/>
          <w:color w:val="auto"/>
        </w:rPr>
      </w:pPr>
    </w:p>
    <w:p>
      <w:pPr>
        <w:jc w:val="both"/>
        <w:ind w:firstLine="757"/>
        <w:spacing w:after="0" w:line="256" w:lineRule="auto"/>
        <w:tabs>
          <w:tab w:leader="none" w:pos="1018"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Grant is Not Transferable</w:t>
      </w:r>
      <w:r>
        <w:rPr>
          <w:rFonts w:ascii="Arial" w:cs="Arial" w:eastAsia="Arial" w:hAnsi="Arial"/>
          <w:sz w:val="16"/>
          <w:szCs w:val="16"/>
          <w:color w:val="auto"/>
        </w:rPr>
        <w:t>. Except to the limited extent provided in Section 5, this Award and the rights and privileges conferred hereby will</w:t>
      </w:r>
      <w:r>
        <w:rPr>
          <w:rFonts w:ascii="Arial" w:cs="Arial" w:eastAsia="Arial" w:hAnsi="Arial"/>
          <w:sz w:val="16"/>
          <w:szCs w:val="16"/>
          <w:b w:val="1"/>
          <w:bCs w:val="1"/>
          <w:color w:val="auto"/>
        </w:rPr>
        <w:t xml:space="preserve"> </w:t>
      </w:r>
      <w:r>
        <w:rPr>
          <w:rFonts w:ascii="Arial" w:cs="Arial" w:eastAsia="Arial" w:hAnsi="Arial"/>
          <w:sz w:val="16"/>
          <w:szCs w:val="16"/>
          <w:color w:val="auto"/>
        </w:rPr>
        <w:t>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71" w:lineRule="exact"/>
        <w:rPr>
          <w:rFonts w:ascii="Arial" w:cs="Arial" w:eastAsia="Arial" w:hAnsi="Arial"/>
          <w:sz w:val="16"/>
          <w:szCs w:val="16"/>
          <w:b w:val="1"/>
          <w:bCs w:val="1"/>
          <w:color w:val="auto"/>
        </w:rPr>
      </w:pPr>
    </w:p>
    <w:p>
      <w:pPr>
        <w:ind w:left="1020" w:hanging="263"/>
        <w:spacing w:after="0"/>
        <w:tabs>
          <w:tab w:leader="none" w:pos="102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Grant</w:t>
      </w:r>
      <w:r>
        <w:rPr>
          <w:rFonts w:ascii="Arial" w:cs="Arial" w:eastAsia="Arial" w:hAnsi="Arial"/>
          <w:sz w:val="16"/>
          <w:szCs w:val="16"/>
          <w:color w:val="auto"/>
        </w:rPr>
        <w:t>. In accepting this Restricted Stock Award, Participant acknowledges, understands and agrees that:</w:t>
      </w:r>
    </w:p>
    <w:p>
      <w:pPr>
        <w:spacing w:after="0" w:line="113" w:lineRule="exact"/>
        <w:rPr>
          <w:rFonts w:ascii="Arial" w:cs="Arial" w:eastAsia="Arial" w:hAnsi="Arial"/>
          <w:sz w:val="16"/>
          <w:szCs w:val="16"/>
          <w:b w:val="1"/>
          <w:bCs w:val="1"/>
          <w:color w:val="auto"/>
        </w:rPr>
      </w:pPr>
    </w:p>
    <w:p>
      <w:pPr>
        <w:jc w:val="both"/>
        <w:ind w:right="20" w:firstLine="1505"/>
        <w:spacing w:after="0" w:line="266" w:lineRule="auto"/>
        <w:tabs>
          <w:tab w:leader="none" w:pos="2036"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grant of the Restricted Stock Award is exceptional, voluntary and occasional and does not create any contractual or other right to receive future grants of Restricted Stock Awards, or benefits in lieu of Restricted Stock Awards, even if Restricted Stock Awards have been granted in the past;</w:t>
      </w:r>
    </w:p>
    <w:p>
      <w:pPr>
        <w:spacing w:after="0" w:line="63" w:lineRule="exact"/>
        <w:rPr>
          <w:rFonts w:ascii="Arial" w:cs="Arial" w:eastAsia="Arial" w:hAnsi="Arial"/>
          <w:sz w:val="16"/>
          <w:szCs w:val="16"/>
          <w:color w:val="auto"/>
        </w:rPr>
      </w:pPr>
    </w:p>
    <w:p>
      <w:pPr>
        <w:ind w:left="2040" w:hanging="535"/>
        <w:spacing w:after="0"/>
        <w:tabs>
          <w:tab w:leader="none" w:pos="20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decisions with respect to future Restricted Stock Awards or other grants, if any, will be at the sole discretion of the</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Administrator;</w:t>
      </w:r>
    </w:p>
    <w:p>
      <w:pPr>
        <w:spacing w:after="0" w:line="97" w:lineRule="exact"/>
        <w:rPr>
          <w:rFonts w:ascii="Arial" w:cs="Arial" w:eastAsia="Arial" w:hAnsi="Arial"/>
          <w:sz w:val="16"/>
          <w:szCs w:val="16"/>
          <w:color w:val="auto"/>
        </w:rPr>
      </w:pPr>
    </w:p>
    <w:p>
      <w:pPr>
        <w:ind w:left="2040" w:hanging="535"/>
        <w:spacing w:after="0"/>
        <w:tabs>
          <w:tab w:leader="none" w:pos="20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Participant is voluntarily participating in the Plan;</w:t>
      </w:r>
    </w:p>
    <w:p>
      <w:pPr>
        <w:spacing w:after="0" w:line="113" w:lineRule="exact"/>
        <w:rPr>
          <w:rFonts w:ascii="Arial" w:cs="Arial" w:eastAsia="Arial" w:hAnsi="Arial"/>
          <w:sz w:val="16"/>
          <w:szCs w:val="16"/>
          <w:color w:val="auto"/>
        </w:rPr>
      </w:pPr>
    </w:p>
    <w:p>
      <w:pPr>
        <w:ind w:right="20" w:firstLine="1505"/>
        <w:spacing w:after="0" w:line="286" w:lineRule="auto"/>
        <w:tabs>
          <w:tab w:leader="none" w:pos="2036"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Restricted Stock Award and the Shares issuable thereunder, and the income from and value of same, are not intended to replace any pension rights or compensation;</w:t>
      </w:r>
    </w:p>
    <w:p>
      <w:pPr>
        <w:spacing w:after="0" w:line="47" w:lineRule="exact"/>
        <w:rPr>
          <w:rFonts w:ascii="Arial" w:cs="Arial" w:eastAsia="Arial" w:hAnsi="Arial"/>
          <w:sz w:val="16"/>
          <w:szCs w:val="16"/>
          <w:color w:val="auto"/>
        </w:rPr>
      </w:pPr>
    </w:p>
    <w:p>
      <w:pPr>
        <w:jc w:val="both"/>
        <w:ind w:firstLine="1505"/>
        <w:spacing w:after="0" w:line="266" w:lineRule="auto"/>
        <w:tabs>
          <w:tab w:leader="none" w:pos="2036" w:val="left"/>
        </w:tabs>
        <w:numPr>
          <w:ilvl w:val="1"/>
          <w:numId w:val="32"/>
        </w:numPr>
        <w:rPr>
          <w:rFonts w:ascii="Arial" w:cs="Arial" w:eastAsia="Arial" w:hAnsi="Arial"/>
          <w:sz w:val="16"/>
          <w:szCs w:val="16"/>
          <w:color w:val="auto"/>
        </w:rPr>
      </w:pPr>
      <w:r>
        <w:rPr>
          <w:rFonts w:ascii="Arial" w:cs="Arial" w:eastAsia="Arial" w:hAnsi="Arial"/>
          <w:sz w:val="16"/>
          <w:szCs w:val="16"/>
          <w:color w:val="auto"/>
        </w:rPr>
        <w:t>unless otherwise agreed with the Company in writing, the Restricted Stock Award and the Shares issuable thereunder, and the income from and value of same, are not granted as consideration for, or in connection with, the service Participant may provide as a director of any Subsidiary or Parent of the Company;</w:t>
      </w:r>
    </w:p>
    <w:p>
      <w:pPr>
        <w:spacing w:after="0" w:line="63" w:lineRule="exact"/>
        <w:rPr>
          <w:rFonts w:ascii="Arial" w:cs="Arial" w:eastAsia="Arial" w:hAnsi="Arial"/>
          <w:sz w:val="16"/>
          <w:szCs w:val="16"/>
          <w:color w:val="auto"/>
        </w:rPr>
      </w:pPr>
    </w:p>
    <w:p>
      <w:pPr>
        <w:ind w:left="2040" w:hanging="535"/>
        <w:spacing w:after="0"/>
        <w:tabs>
          <w:tab w:leader="none" w:pos="20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future value of the Shares issuable pursuant to the Restricted Stock Award is unknown, indeterminable, and cannot be</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predicted with certainty;</w:t>
      </w:r>
    </w:p>
    <w:p>
      <w:pPr>
        <w:spacing w:after="0" w:line="97" w:lineRule="exact"/>
        <w:rPr>
          <w:rFonts w:ascii="Arial" w:cs="Arial" w:eastAsia="Arial" w:hAnsi="Arial"/>
          <w:sz w:val="16"/>
          <w:szCs w:val="16"/>
          <w:color w:val="auto"/>
        </w:rPr>
      </w:pPr>
    </w:p>
    <w:p>
      <w:pPr>
        <w:ind w:firstLine="1505"/>
        <w:spacing w:after="0" w:line="286" w:lineRule="auto"/>
        <w:tabs>
          <w:tab w:leader="none" w:pos="2036" w:val="left"/>
        </w:tabs>
        <w:numPr>
          <w:ilvl w:val="1"/>
          <w:numId w:val="32"/>
        </w:numPr>
        <w:rPr>
          <w:rFonts w:ascii="Arial" w:cs="Arial" w:eastAsia="Arial" w:hAnsi="Arial"/>
          <w:sz w:val="16"/>
          <w:szCs w:val="16"/>
          <w:color w:val="auto"/>
        </w:rPr>
      </w:pPr>
      <w:r>
        <w:rPr>
          <w:rFonts w:ascii="Arial" w:cs="Arial" w:eastAsia="Arial" w:hAnsi="Arial"/>
          <w:sz w:val="16"/>
          <w:szCs w:val="16"/>
          <w:color w:val="auto"/>
        </w:rPr>
        <w:t>for purposes of the Restricted Stock Award, Participant’s status as a Service Provider will be considered terminated as of the date Participant is no longer actively providing services to the Company or any Parent or</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Award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Restricted Stock Award (including whether Participant may still be considered to be providing services while on a leave of absence and consistent with Applicable Laws).</w:t>
      </w:r>
    </w:p>
    <w:p>
      <w:pPr>
        <w:spacing w:after="0" w:line="77" w:lineRule="exact"/>
        <w:rPr>
          <w:sz w:val="20"/>
          <w:szCs w:val="20"/>
          <w:color w:val="auto"/>
        </w:rPr>
      </w:pPr>
    </w:p>
    <w:p>
      <w:pPr>
        <w:jc w:val="both"/>
        <w:ind w:firstLine="1505"/>
        <w:spacing w:after="0" w:line="266" w:lineRule="auto"/>
        <w:tabs>
          <w:tab w:leader="none" w:pos="2036" w:val="left"/>
        </w:tabs>
        <w:numPr>
          <w:ilvl w:val="1"/>
          <w:numId w:val="33"/>
        </w:numPr>
        <w:rPr>
          <w:rFonts w:ascii="Arial" w:cs="Arial" w:eastAsia="Arial" w:hAnsi="Arial"/>
          <w:sz w:val="16"/>
          <w:szCs w:val="16"/>
          <w:color w:val="auto"/>
        </w:rPr>
      </w:pPr>
      <w:r>
        <w:rPr>
          <w:rFonts w:ascii="Arial" w:cs="Arial" w:eastAsia="Arial" w:hAnsi="Arial"/>
          <w:sz w:val="16"/>
          <w:szCs w:val="16"/>
          <w:color w:val="auto"/>
        </w:rPr>
        <w:t>unless otherwise provided in the Plan or by the Administrator in its discretion, the Restricted Stock Award and the benefits evidenced by this Award Agreement do not create any entitlement to have the Restricted Stock Award or any such benefits transferred to, or assumed by, another company nor be exchanged, cashed out or substituted for, in connection with any corporate transaction affecting the Shares; and</w:t>
      </w:r>
    </w:p>
    <w:p>
      <w:pPr>
        <w:spacing w:after="0" w:line="63" w:lineRule="exact"/>
        <w:rPr>
          <w:rFonts w:ascii="Arial" w:cs="Arial" w:eastAsia="Arial" w:hAnsi="Arial"/>
          <w:sz w:val="16"/>
          <w:szCs w:val="16"/>
          <w:color w:val="auto"/>
        </w:rPr>
      </w:pPr>
    </w:p>
    <w:p>
      <w:pPr>
        <w:ind w:left="2040" w:hanging="535"/>
        <w:spacing w:after="0"/>
        <w:tabs>
          <w:tab w:leader="none" w:pos="2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following provisions apply only if Participant is providing services outside the United States:</w:t>
      </w:r>
    </w:p>
    <w:p>
      <w:pPr>
        <w:spacing w:after="0" w:line="113" w:lineRule="exact"/>
        <w:rPr>
          <w:rFonts w:ascii="Arial" w:cs="Arial" w:eastAsia="Arial" w:hAnsi="Arial"/>
          <w:sz w:val="16"/>
          <w:szCs w:val="16"/>
          <w:color w:val="auto"/>
        </w:rPr>
      </w:pPr>
    </w:p>
    <w:p>
      <w:pPr>
        <w:ind w:firstLine="2254"/>
        <w:spacing w:after="0" w:line="286" w:lineRule="auto"/>
        <w:tabs>
          <w:tab w:leader="none" w:pos="2546"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 Restricted Stock Award and the Shares issuable thereunder, and the income from and value of same, are not part of normal or expected compensation or salary for any purpose;</w:t>
      </w:r>
    </w:p>
    <w:p>
      <w:pPr>
        <w:spacing w:after="0" w:line="47" w:lineRule="exact"/>
        <w:rPr>
          <w:rFonts w:ascii="Arial" w:cs="Arial" w:eastAsia="Arial" w:hAnsi="Arial"/>
          <w:sz w:val="16"/>
          <w:szCs w:val="16"/>
          <w:color w:val="auto"/>
        </w:rPr>
      </w:pPr>
    </w:p>
    <w:p>
      <w:pPr>
        <w:jc w:val="both"/>
        <w:ind w:firstLine="2254"/>
        <w:spacing w:after="0" w:line="266" w:lineRule="auto"/>
        <w:tabs>
          <w:tab w:leader="none" w:pos="2546" w:val="left"/>
        </w:tabs>
        <w:numPr>
          <w:ilvl w:val="2"/>
          <w:numId w:val="33"/>
        </w:numPr>
        <w:rPr>
          <w:rFonts w:ascii="Arial" w:cs="Arial" w:eastAsia="Arial" w:hAnsi="Arial"/>
          <w:sz w:val="16"/>
          <w:szCs w:val="16"/>
          <w:color w:val="auto"/>
        </w:rPr>
      </w:pPr>
      <w:r>
        <w:rPr>
          <w:rFonts w:ascii="Arial" w:cs="Arial" w:eastAsia="Arial" w:hAnsi="Arial"/>
          <w:sz w:val="16"/>
          <w:szCs w:val="16"/>
          <w:color w:val="auto"/>
        </w:rPr>
        <w:t>neither the Company nor any Service Recipient shall be liable for any foreign exchange rate fluctuation between Participant’s local currency and the United States Dollar that may affect the value of the Restricted Stock Award or the Shares issuable thereunder or the subsequent sale of any such Shares; and</w:t>
      </w:r>
    </w:p>
    <w:p>
      <w:pPr>
        <w:spacing w:after="0" w:line="63" w:lineRule="exact"/>
        <w:rPr>
          <w:rFonts w:ascii="Arial" w:cs="Arial" w:eastAsia="Arial" w:hAnsi="Arial"/>
          <w:sz w:val="16"/>
          <w:szCs w:val="16"/>
          <w:color w:val="auto"/>
        </w:rPr>
      </w:pPr>
    </w:p>
    <w:p>
      <w:pPr>
        <w:jc w:val="both"/>
        <w:ind w:firstLine="2254"/>
        <w:spacing w:after="0" w:line="252" w:lineRule="auto"/>
        <w:tabs>
          <w:tab w:leader="none" w:pos="2546" w:val="left"/>
        </w:tabs>
        <w:numPr>
          <w:ilvl w:val="2"/>
          <w:numId w:val="33"/>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any portion of the Restricted Stock Award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Award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267" w:lineRule="exact"/>
        <w:rPr>
          <w:rFonts w:ascii="Arial" w:cs="Arial" w:eastAsia="Arial" w:hAnsi="Arial"/>
          <w:sz w:val="16"/>
          <w:szCs w:val="16"/>
          <w:color w:val="auto"/>
        </w:rPr>
      </w:pPr>
    </w:p>
    <w:p>
      <w:pPr>
        <w:ind w:firstLine="757"/>
        <w:spacing w:after="0" w:line="286" w:lineRule="auto"/>
        <w:tabs>
          <w:tab w:leader="none" w:pos="1018"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Restrictive Covenants</w:t>
      </w:r>
      <w:r>
        <w:rPr>
          <w:rFonts w:ascii="Arial" w:cs="Arial" w:eastAsia="Arial" w:hAnsi="Arial"/>
          <w:sz w:val="16"/>
          <w:szCs w:val="16"/>
          <w:color w:val="auto"/>
        </w:rPr>
        <w:t>. In consideration of this grant of the Restricted Stock Award, Participant agrees to the restrictive covenants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in Appendix 2 to this Award Agreement, the terms of which are incorporated by reference.</w:t>
      </w:r>
    </w:p>
    <w:p>
      <w:pPr>
        <w:spacing w:after="0" w:line="47" w:lineRule="exact"/>
        <w:rPr>
          <w:rFonts w:ascii="Arial" w:cs="Arial" w:eastAsia="Arial" w:hAnsi="Arial"/>
          <w:sz w:val="16"/>
          <w:szCs w:val="16"/>
          <w:b w:val="1"/>
          <w:bCs w:val="1"/>
          <w:color w:val="auto"/>
        </w:rPr>
      </w:pPr>
    </w:p>
    <w:p>
      <w:pPr>
        <w:jc w:val="both"/>
        <w:ind w:firstLine="757"/>
        <w:spacing w:after="0" w:line="259" w:lineRule="auto"/>
        <w:tabs>
          <w:tab w:leader="none" w:pos="1018"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No Advice Regarding Grant</w:t>
      </w:r>
      <w:r>
        <w:rPr>
          <w:rFonts w:ascii="Arial" w:cs="Arial" w:eastAsia="Arial" w:hAnsi="Arial"/>
          <w:sz w:val="16"/>
          <w:szCs w:val="16"/>
          <w:color w:val="auto"/>
        </w:rPr>
        <w:t>. The Company is not providing any tax, legal or financial advice, nor is the Company making any</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regarding Participant’s participation in the Plan, or Participant’s acquisition or sale of the Shares issuable pursuant to the Restricted Stock Award. Participant is hereby advised to consult with his or her own personal tax, legal and financial advisers regarding his or her participation in the Plan before taking any action related to the Plan.</w:t>
      </w:r>
    </w:p>
    <w:p>
      <w:pPr>
        <w:spacing w:after="0" w:line="71" w:lineRule="exact"/>
        <w:rPr>
          <w:rFonts w:ascii="Arial" w:cs="Arial" w:eastAsia="Arial" w:hAnsi="Arial"/>
          <w:sz w:val="16"/>
          <w:szCs w:val="16"/>
          <w:b w:val="1"/>
          <w:bCs w:val="1"/>
          <w:color w:val="auto"/>
        </w:rPr>
      </w:pPr>
    </w:p>
    <w:p>
      <w:pPr>
        <w:jc w:val="both"/>
        <w:ind w:firstLine="757"/>
        <w:spacing w:after="0" w:line="262" w:lineRule="auto"/>
        <w:tabs>
          <w:tab w:leader="none" w:pos="1018"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Data Privacy. Participant hereby explicitly and unambiguously consents to the collection, use and transfer, in electronic or other form, of Participant’s personal data as described in this Award Agreement and any other Restricted Stock Award grant materials by and among, as applicable, the Company and the Service Recipients for the exclusive purpose of implementing, administering and managing Participant’s participation in the Plan.</w:t>
      </w:r>
    </w:p>
    <w:p>
      <w:pPr>
        <w:spacing w:after="0" w:line="6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Awards or any other entitlement to Shares awarded, canceled, exercised, vested, unvested or outstanding in Participant’s favor (“Data”), for the exclusive purpose of implementing, administering and managing the Plan.</w:t>
      </w:r>
    </w:p>
    <w:p>
      <w:pPr>
        <w:spacing w:after="0" w:line="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b w:val="1"/>
          <w:bCs w:val="1"/>
          <w:i w:val="1"/>
          <w:iCs w:val="1"/>
          <w:color w:val="auto"/>
        </w:rPr>
        <w:t>Participant understands that Data will be transferred to a third-party stock plan service provider,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will not be adversely affected. The only adverse consequence of refusing or withdrawing Participant’s consent is that the Company would not be able to grant Participant Restricted Stock Awards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68" w:lineRule="exact"/>
        <w:rPr>
          <w:sz w:val="20"/>
          <w:szCs w:val="20"/>
          <w:color w:val="auto"/>
        </w:rPr>
      </w:pPr>
    </w:p>
    <w:p>
      <w:pPr>
        <w:jc w:val="both"/>
        <w:ind w:firstLine="757"/>
        <w:spacing w:after="0" w:line="266" w:lineRule="auto"/>
        <w:tabs>
          <w:tab w:leader="none" w:pos="1018"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Address for Notices</w:t>
      </w:r>
      <w:r>
        <w:rPr>
          <w:rFonts w:ascii="Arial" w:cs="Arial" w:eastAsia="Arial" w:hAnsi="Arial"/>
          <w:sz w:val="16"/>
          <w:szCs w:val="16"/>
          <w:color w:val="auto"/>
        </w:rPr>
        <w:t>. Any notice to be given to the Company under the terms of this Award Agreement will be addressed to the Company at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Paymentus Holdings, Inc., 11605 N. Community House Road, Suite 300, Charlotte, NC 28277, Attention: General Counsel, or at such other address as the Company may hereafter designate in writing.</w:t>
      </w:r>
    </w:p>
    <w:p>
      <w:pPr>
        <w:spacing w:after="0" w:line="63" w:lineRule="exact"/>
        <w:rPr>
          <w:rFonts w:ascii="Arial" w:cs="Arial" w:eastAsia="Arial" w:hAnsi="Arial"/>
          <w:sz w:val="16"/>
          <w:szCs w:val="16"/>
          <w:b w:val="1"/>
          <w:bCs w:val="1"/>
          <w:color w:val="auto"/>
        </w:rPr>
      </w:pPr>
    </w:p>
    <w:p>
      <w:pPr>
        <w:jc w:val="both"/>
        <w:ind w:firstLine="757"/>
        <w:spacing w:after="0" w:line="259" w:lineRule="auto"/>
        <w:tabs>
          <w:tab w:leader="none" w:pos="1018"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 and Assigns</w:t>
      </w:r>
      <w:r>
        <w:rPr>
          <w:rFonts w:ascii="Arial" w:cs="Arial" w:eastAsia="Arial" w:hAnsi="Arial"/>
          <w:sz w:val="16"/>
          <w:szCs w:val="16"/>
          <w:color w:val="auto"/>
        </w:rPr>
        <w:t>. The Company may assign any of its rights under this Award Agreement to single or multiple assignees, and this</w:t>
      </w:r>
      <w:r>
        <w:rPr>
          <w:rFonts w:ascii="Arial" w:cs="Arial" w:eastAsia="Arial" w:hAnsi="Arial"/>
          <w:sz w:val="16"/>
          <w:szCs w:val="16"/>
          <w:b w:val="1"/>
          <w:bCs w:val="1"/>
          <w:color w:val="auto"/>
        </w:rPr>
        <w:t xml:space="preserve"> </w:t>
      </w:r>
      <w:r>
        <w:rPr>
          <w:rFonts w:ascii="Arial" w:cs="Arial" w:eastAsia="Arial" w:hAnsi="Arial"/>
          <w:sz w:val="16"/>
          <w:szCs w:val="16"/>
          <w:color w:val="auto"/>
        </w:rPr>
        <w:t>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spacing w:after="0" w:line="69" w:lineRule="exact"/>
        <w:rPr>
          <w:rFonts w:ascii="Arial" w:cs="Arial" w:eastAsia="Arial" w:hAnsi="Arial"/>
          <w:sz w:val="16"/>
          <w:szCs w:val="16"/>
          <w:b w:val="1"/>
          <w:bCs w:val="1"/>
          <w:color w:val="auto"/>
        </w:rPr>
      </w:pPr>
    </w:p>
    <w:p>
      <w:pPr>
        <w:jc w:val="both"/>
        <w:ind w:firstLine="757"/>
        <w:spacing w:after="0" w:line="251" w:lineRule="auto"/>
        <w:tabs>
          <w:tab w:leader="none" w:pos="1018"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Conditions to Issuance of Stock</w:t>
      </w:r>
      <w:r>
        <w:rPr>
          <w:rFonts w:ascii="Arial" w:cs="Arial" w:eastAsia="Arial" w:hAnsi="Arial"/>
          <w:sz w:val="16"/>
          <w:szCs w:val="16"/>
          <w:color w:val="auto"/>
        </w:rPr>
        <w:t>. If at any time the Company will determine, in its discretion, that the listing,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Award as the Administrator may establish from time to time for reasons of administrative convenience.</w:t>
      </w:r>
    </w:p>
    <w:p>
      <w:pPr>
        <w:spacing w:after="0" w:line="77" w:lineRule="exact"/>
        <w:rPr>
          <w:rFonts w:ascii="Arial" w:cs="Arial" w:eastAsia="Arial" w:hAnsi="Arial"/>
          <w:sz w:val="16"/>
          <w:szCs w:val="16"/>
          <w:b w:val="1"/>
          <w:bCs w:val="1"/>
          <w:color w:val="auto"/>
        </w:rPr>
      </w:pPr>
    </w:p>
    <w:p>
      <w:pPr>
        <w:ind w:left="1020" w:hanging="263"/>
        <w:spacing w:after="0"/>
        <w:tabs>
          <w:tab w:leader="none" w:pos="102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Language</w:t>
      </w:r>
      <w:r>
        <w:rPr>
          <w:rFonts w:ascii="Arial" w:cs="Arial" w:eastAsia="Arial" w:hAnsi="Arial"/>
          <w:sz w:val="16"/>
          <w:szCs w:val="16"/>
          <w:color w:val="auto"/>
        </w:rPr>
        <w:t>. Participant acknowledges that Participant is sufficiently proficient in the</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English language, or has consulted with an adviser who is sufficiently proficient in the English language, so as to allow Participant to understand the terms and conditions of this Award Agreement. If Participant has received this Award Agreement or any other document related to the Plan translated into a language other than the English language and if the meaning of the translated version is different than the English version, the English language version will control.</w:t>
      </w:r>
    </w:p>
    <w:p>
      <w:pPr>
        <w:spacing w:after="0" w:line="264" w:lineRule="exact"/>
        <w:rPr>
          <w:sz w:val="20"/>
          <w:szCs w:val="20"/>
          <w:color w:val="auto"/>
        </w:rPr>
      </w:pPr>
    </w:p>
    <w:p>
      <w:pPr>
        <w:jc w:val="both"/>
        <w:ind w:firstLine="757"/>
        <w:spacing w:after="0" w:line="254" w:lineRule="auto"/>
        <w:tabs>
          <w:tab w:leader="none" w:pos="1018"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Interpretation</w:t>
      </w:r>
      <w:r>
        <w:rPr>
          <w:rFonts w:ascii="Arial" w:cs="Arial" w:eastAsia="Arial" w:hAnsi="Arial"/>
          <w:sz w:val="16"/>
          <w:szCs w:val="16"/>
          <w:color w:val="auto"/>
        </w:rPr>
        <w:t>. The Administrator will have the power to interpret the Plan and this Award Agreement and to adopt such rules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interpretation and application of the Plan as are consistent therewith and to interpret or revoke any such rules (including, but not limited to, the determination of whether or not any portion of the Restricted Stock Award has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73" w:lineRule="exact"/>
        <w:rPr>
          <w:rFonts w:ascii="Arial" w:cs="Arial" w:eastAsia="Arial" w:hAnsi="Arial"/>
          <w:sz w:val="16"/>
          <w:szCs w:val="16"/>
          <w:b w:val="1"/>
          <w:bCs w:val="1"/>
          <w:color w:val="auto"/>
        </w:rPr>
      </w:pPr>
    </w:p>
    <w:p>
      <w:pPr>
        <w:jc w:val="both"/>
        <w:ind w:firstLine="757"/>
        <w:spacing w:after="0" w:line="259" w:lineRule="auto"/>
        <w:tabs>
          <w:tab w:leader="none" w:pos="1018"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Electronic Delivery and Acceptance</w:t>
      </w:r>
      <w:r>
        <w:rPr>
          <w:rFonts w:ascii="Arial" w:cs="Arial" w:eastAsia="Arial" w:hAnsi="Arial"/>
          <w:sz w:val="16"/>
          <w:szCs w:val="16"/>
          <w:color w:val="auto"/>
        </w:rPr>
        <w:t>. The Company may, in its sole discretion, decide to deliver any documents related to the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Award granted under the Plan or future Restricted Stock Awards that may be granted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69" w:lineRule="exact"/>
        <w:rPr>
          <w:rFonts w:ascii="Arial" w:cs="Arial" w:eastAsia="Arial" w:hAnsi="Arial"/>
          <w:sz w:val="16"/>
          <w:szCs w:val="16"/>
          <w:b w:val="1"/>
          <w:bCs w:val="1"/>
          <w:color w:val="auto"/>
        </w:rPr>
      </w:pPr>
    </w:p>
    <w:p>
      <w:pPr>
        <w:ind w:left="1020" w:hanging="263"/>
        <w:spacing w:after="0"/>
        <w:tabs>
          <w:tab w:leader="none" w:pos="102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Captions</w:t>
      </w:r>
      <w:r>
        <w:rPr>
          <w:rFonts w:ascii="Arial" w:cs="Arial" w:eastAsia="Arial" w:hAnsi="Arial"/>
          <w:sz w:val="16"/>
          <w:szCs w:val="16"/>
          <w:color w:val="auto"/>
        </w:rPr>
        <w:t>. Captions provided herein are for convenience only and are not to serve as a basis for interpretation or construction of this Award</w:t>
      </w:r>
    </w:p>
    <w:p>
      <w:pPr>
        <w:spacing w:after="0" w:line="2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Agreement.</w:t>
      </w:r>
    </w:p>
    <w:p>
      <w:pPr>
        <w:spacing w:after="0" w:line="97" w:lineRule="exact"/>
        <w:rPr>
          <w:rFonts w:ascii="Arial" w:cs="Arial" w:eastAsia="Arial" w:hAnsi="Arial"/>
          <w:sz w:val="16"/>
          <w:szCs w:val="16"/>
          <w:b w:val="1"/>
          <w:bCs w:val="1"/>
          <w:color w:val="auto"/>
        </w:rPr>
      </w:pPr>
    </w:p>
    <w:p>
      <w:pPr>
        <w:jc w:val="both"/>
        <w:ind w:firstLine="757"/>
        <w:spacing w:after="0" w:line="266" w:lineRule="auto"/>
        <w:tabs>
          <w:tab w:leader="none" w:pos="1018"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Suspension or Termination of the Plan</w:t>
      </w:r>
      <w:r>
        <w:rPr>
          <w:rFonts w:ascii="Arial" w:cs="Arial" w:eastAsia="Arial" w:hAnsi="Arial"/>
          <w:sz w:val="16"/>
          <w:szCs w:val="16"/>
          <w:color w:val="auto"/>
        </w:rPr>
        <w:t>. By accepting this Award, Participant expressly warrants that he or she has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a Restricted Stock Award under the Plan, and has received, read and understood a description of the Plan. Participant understands that the Plan is discretionary in nature and may be amended, suspended or terminated by the Administrator at any time.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90" w:lineRule="exact"/>
        <w:rPr>
          <w:sz w:val="20"/>
          <w:szCs w:val="20"/>
          <w:color w:val="auto"/>
        </w:rPr>
      </w:pPr>
    </w:p>
    <w:p>
      <w:pPr>
        <w:jc w:val="both"/>
        <w:ind w:left="-8" w:firstLine="757"/>
        <w:spacing w:after="0" w:line="255" w:lineRule="auto"/>
        <w:tabs>
          <w:tab w:leader="none" w:pos="1010"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Country Addendum</w:t>
      </w:r>
      <w:r>
        <w:rPr>
          <w:rFonts w:ascii="Arial" w:cs="Arial" w:eastAsia="Arial" w:hAnsi="Arial"/>
          <w:sz w:val="16"/>
          <w:szCs w:val="16"/>
          <w:color w:val="auto"/>
        </w:rPr>
        <w:t>. Notwithstanding any provisions in this Award Agreement, the Restricted Stock Award grant shall be subject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terms and conditions set forth in the Country Addendum (if any) for any country whose laws are applicable to Participant and this Restricted Stock Award (as determined by the Administrator in its sole discretion). Moreover, if Participant relocates to one of the countries included in the Country Addendum, the additional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264" w:lineRule="exact"/>
        <w:rPr>
          <w:rFonts w:ascii="Arial" w:cs="Arial" w:eastAsia="Arial" w:hAnsi="Arial"/>
          <w:sz w:val="16"/>
          <w:szCs w:val="16"/>
          <w:b w:val="1"/>
          <w:bCs w:val="1"/>
          <w:color w:val="auto"/>
        </w:rPr>
      </w:pPr>
    </w:p>
    <w:p>
      <w:pPr>
        <w:jc w:val="both"/>
        <w:ind w:left="-8" w:firstLine="757"/>
        <w:spacing w:after="0" w:line="254" w:lineRule="auto"/>
        <w:tabs>
          <w:tab w:leader="none" w:pos="1010"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Modifications to the Award Agreement</w:t>
      </w:r>
      <w:r>
        <w:rPr>
          <w:rFonts w:ascii="Arial" w:cs="Arial" w:eastAsia="Arial" w:hAnsi="Arial"/>
          <w:sz w:val="16"/>
          <w:szCs w:val="16"/>
          <w:color w:val="auto"/>
        </w:rPr>
        <w:t>. This Award Agreement constitutes the entire understanding of the parties on the subjects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Restricted Stock Award.</w:t>
      </w:r>
    </w:p>
    <w:p>
      <w:pPr>
        <w:spacing w:after="0" w:line="73" w:lineRule="exact"/>
        <w:rPr>
          <w:rFonts w:ascii="Arial" w:cs="Arial" w:eastAsia="Arial" w:hAnsi="Arial"/>
          <w:sz w:val="16"/>
          <w:szCs w:val="16"/>
          <w:b w:val="1"/>
          <w:bCs w:val="1"/>
          <w:color w:val="auto"/>
        </w:rPr>
      </w:pPr>
    </w:p>
    <w:p>
      <w:pPr>
        <w:jc w:val="both"/>
        <w:ind w:left="-8" w:firstLine="757"/>
        <w:spacing w:after="0" w:line="259" w:lineRule="auto"/>
        <w:tabs>
          <w:tab w:leader="none" w:pos="1010"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No Waiver</w:t>
      </w:r>
      <w:r>
        <w:rPr>
          <w:rFonts w:ascii="Arial" w:cs="Arial" w:eastAsia="Arial" w:hAnsi="Arial"/>
          <w:sz w:val="16"/>
          <w:szCs w:val="16"/>
          <w:color w:val="auto"/>
        </w:rPr>
        <w:t>. Either party’s failure to enforce any provision or provisions of this Award Agreement shall not in any way be construed as a waiver</w:t>
      </w:r>
      <w:r>
        <w:rPr>
          <w:rFonts w:ascii="Arial" w:cs="Arial" w:eastAsia="Arial" w:hAnsi="Arial"/>
          <w:sz w:val="16"/>
          <w:szCs w:val="16"/>
          <w:b w:val="1"/>
          <w:bCs w:val="1"/>
          <w:color w:val="auto"/>
        </w:rPr>
        <w:t xml:space="preserve"> </w:t>
      </w:r>
      <w:r>
        <w:rPr>
          <w:rFonts w:ascii="Arial" w:cs="Arial" w:eastAsia="Arial" w:hAnsi="Arial"/>
          <w:sz w:val="16"/>
          <w:szCs w:val="16"/>
          <w:color w:val="auto"/>
        </w:rPr>
        <w:t>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69" w:lineRule="exact"/>
        <w:rPr>
          <w:rFonts w:ascii="Arial" w:cs="Arial" w:eastAsia="Arial" w:hAnsi="Arial"/>
          <w:sz w:val="16"/>
          <w:szCs w:val="16"/>
          <w:b w:val="1"/>
          <w:bCs w:val="1"/>
          <w:color w:val="auto"/>
        </w:rPr>
      </w:pPr>
    </w:p>
    <w:p>
      <w:pPr>
        <w:jc w:val="both"/>
        <w:ind w:left="-8" w:firstLine="757"/>
        <w:spacing w:after="0" w:line="250" w:lineRule="auto"/>
        <w:tabs>
          <w:tab w:leader="none" w:pos="1010"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Insider Trading/Market Abuse Laws</w:t>
      </w:r>
      <w:r>
        <w:rPr>
          <w:rFonts w:ascii="Arial" w:cs="Arial" w:eastAsia="Arial" w:hAnsi="Arial"/>
          <w:sz w:val="16"/>
          <w:szCs w:val="16"/>
          <w:color w:val="auto"/>
        </w:rPr>
        <w:t>. Participant acknowledges that Participant may be subject to insider trading restrictions and/or market</w:t>
      </w:r>
      <w:r>
        <w:rPr>
          <w:rFonts w:ascii="Arial" w:cs="Arial" w:eastAsia="Arial" w:hAnsi="Arial"/>
          <w:sz w:val="16"/>
          <w:szCs w:val="16"/>
          <w:b w:val="1"/>
          <w:bCs w:val="1"/>
          <w:color w:val="auto"/>
        </w:rPr>
        <w:t xml:space="preserve"> </w:t>
      </w:r>
      <w:r>
        <w:rPr>
          <w:rFonts w:ascii="Arial" w:cs="Arial" w:eastAsia="Arial" w:hAnsi="Arial"/>
          <w:sz w:val="16"/>
          <w:szCs w:val="16"/>
          <w:color w:val="auto"/>
        </w:rPr>
        <w:t>abuse laws based on the exchange on which the Shares are listed and in applicable jurisdictions including, but not limited to, the United States and Participant’s country of residence, which may affect Participant’s ability to acquire or sell Shares during such time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w:t>
      </w:r>
    </w:p>
    <w:p>
      <w:pPr>
        <w:spacing w:after="0" w:line="2" w:lineRule="exact"/>
        <w:rPr>
          <w:rFonts w:ascii="Arial" w:cs="Arial" w:eastAsia="Arial" w:hAnsi="Arial"/>
          <w:sz w:val="16"/>
          <w:szCs w:val="16"/>
          <w:b w:val="1"/>
          <w:bCs w:val="1"/>
          <w:color w:val="auto"/>
        </w:rPr>
      </w:pPr>
    </w:p>
    <w:p>
      <w:pPr>
        <w:jc w:val="both"/>
        <w:ind w:left="-8" w:firstLine="8"/>
        <w:spacing w:after="0" w:line="252" w:lineRule="auto"/>
        <w:tabs>
          <w:tab w:leader="none" w:pos="196"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disclosing the inside information to any third party and (ii) “tipping” third parties or causing them otherwise to buy or sell securities. Participant should keep in mind that third parties include employees of the Company or any Parent or Subsidiary of the Company. Any restrictions under these laws or regulations are separate from and in addition to any restrictions that may be imposed under any applicable insider trading policy of the Company. Participant is responsible for ensuring compliance with any applicable restrictions and should consult with his or her personal legal advisor on this matter.</w:t>
      </w:r>
    </w:p>
    <w:p>
      <w:pPr>
        <w:spacing w:after="0" w:line="75" w:lineRule="exact"/>
        <w:rPr>
          <w:rFonts w:ascii="Arial" w:cs="Arial" w:eastAsia="Arial" w:hAnsi="Arial"/>
          <w:sz w:val="16"/>
          <w:szCs w:val="16"/>
          <w:color w:val="auto"/>
        </w:rPr>
      </w:pPr>
    </w:p>
    <w:p>
      <w:pPr>
        <w:jc w:val="both"/>
        <w:ind w:left="-8" w:firstLine="757"/>
        <w:spacing w:after="0" w:line="256" w:lineRule="auto"/>
        <w:tabs>
          <w:tab w:leader="none" w:pos="1010" w:val="left"/>
        </w:tabs>
        <w:numPr>
          <w:ilvl w:val="1"/>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Venue; Severability</w:t>
      </w:r>
      <w:r>
        <w:rPr>
          <w:rFonts w:ascii="Arial" w:cs="Arial" w:eastAsia="Arial" w:hAnsi="Arial"/>
          <w:sz w:val="16"/>
          <w:szCs w:val="16"/>
          <w:color w:val="auto"/>
        </w:rPr>
        <w:t>. This Award Agreement and the Restricted Stock Award are governed by the internal substantive laws,</w:t>
      </w:r>
      <w:r>
        <w:rPr>
          <w:rFonts w:ascii="Arial" w:cs="Arial" w:eastAsia="Arial" w:hAnsi="Arial"/>
          <w:sz w:val="16"/>
          <w:szCs w:val="16"/>
          <w:b w:val="1"/>
          <w:bCs w:val="1"/>
          <w:color w:val="auto"/>
        </w:rPr>
        <w:t xml:space="preserve"> </w:t>
      </w:r>
      <w:r>
        <w:rPr>
          <w:rFonts w:ascii="Arial" w:cs="Arial" w:eastAsia="Arial" w:hAnsi="Arial"/>
          <w:sz w:val="16"/>
          <w:szCs w:val="16"/>
          <w:color w:val="auto"/>
        </w:rPr>
        <w:t>but not the choice of law rules, of the State of Delaware. For purposes of any action, lawsuit or other proceedings brought to enforce this Award Agreement, relating to it, or arising from it, the parties hereby submit to and consent to the sole and exclusive jurisdiction of the courts of the State of Delaware, and no other courts, where this grant is made and/or to be performed. In the event that any provision hereof becomes or is declared by a court of competent jurisdiction to be illegal, unenforceable or void, this Award Agreement shall continue in full force and effect.</w:t>
      </w:r>
    </w:p>
    <w:p>
      <w:pPr>
        <w:spacing w:after="0" w:line="71" w:lineRule="exact"/>
        <w:rPr>
          <w:rFonts w:ascii="Arial" w:cs="Arial" w:eastAsia="Arial" w:hAnsi="Arial"/>
          <w:sz w:val="16"/>
          <w:szCs w:val="16"/>
          <w:b w:val="1"/>
          <w:bCs w:val="1"/>
          <w:color w:val="auto"/>
        </w:rPr>
      </w:pPr>
    </w:p>
    <w:p>
      <w:pPr>
        <w:jc w:val="both"/>
        <w:ind w:left="-8" w:firstLine="757"/>
        <w:spacing w:after="0" w:line="252" w:lineRule="auto"/>
        <w:tabs>
          <w:tab w:leader="none" w:pos="1010" w:val="left"/>
        </w:tabs>
        <w:numPr>
          <w:ilvl w:val="1"/>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The Plan is incorporated herein by reference. The Plan and this Award Agreement (including the exhibits, appendices,</w:t>
      </w:r>
      <w:r>
        <w:rPr>
          <w:rFonts w:ascii="Arial" w:cs="Arial" w:eastAsia="Arial" w:hAnsi="Arial"/>
          <w:sz w:val="16"/>
          <w:szCs w:val="16"/>
          <w:b w:val="1"/>
          <w:bCs w:val="1"/>
          <w:color w:val="auto"/>
        </w:rPr>
        <w:t xml:space="preserve"> </w:t>
      </w:r>
      <w:r>
        <w:rPr>
          <w:rFonts w:ascii="Arial" w:cs="Arial" w:eastAsia="Arial" w:hAnsi="Arial"/>
          <w:sz w:val="16"/>
          <w:szCs w:val="16"/>
          <w:color w:val="auto"/>
        </w:rPr>
        <w:t>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Notwithstanding the foregoing, the restrictive covenants set forth in Appendix 2, if applicable, do not supersede or in any way modify any other restrictive covenants applicable to Participant in any employment or other agreement with the Company or any Parent or Subsidiary of the Company. This Award Agreement, the Restricted Stock Award, and any Shares received hereunder shall be subject to any compensation recoupment or similar policy adopted by the Company from time to time as required by law or any rules of the New York Stock Exchange or other stock exchange.</w:t>
      </w:r>
    </w:p>
    <w:p>
      <w:pPr>
        <w:spacing w:after="0" w:line="74" w:lineRule="exact"/>
        <w:rPr>
          <w:rFonts w:ascii="Arial" w:cs="Arial" w:eastAsia="Arial" w:hAnsi="Arial"/>
          <w:sz w:val="16"/>
          <w:szCs w:val="16"/>
          <w:b w:val="1"/>
          <w:bCs w:val="1"/>
          <w:color w:val="auto"/>
        </w:rPr>
      </w:pPr>
    </w:p>
    <w:p>
      <w:pPr>
        <w:ind w:left="5072"/>
        <w:spacing w:after="0"/>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48" w:name="page49"/>
    <w:bookmarkEnd w:id="48"/>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APPENDIX 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PAYMENTUS HOLDINGS,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EQUITY INCENTIVE PLAN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COUNTRY ADDENDUM TO RESTRICTED STOCK AWARD AGREEMENT</w:t>
      </w:r>
    </w:p>
    <w:p>
      <w:pPr>
        <w:spacing w:after="0" w:line="11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Unless otherwise defined herein, capitalized terms used in this Country Addendum to Restricted Stock Award Agreement (the “</w:t>
      </w:r>
      <w:r>
        <w:rPr>
          <w:rFonts w:ascii="Arial" w:cs="Arial" w:eastAsia="Arial" w:hAnsi="Arial"/>
          <w:sz w:val="16"/>
          <w:szCs w:val="16"/>
          <w:b w:val="1"/>
          <w:bCs w:val="1"/>
          <w:color w:val="auto"/>
        </w:rPr>
        <w:t>Country</w:t>
      </w:r>
      <w:r>
        <w:rPr>
          <w:rFonts w:ascii="Arial" w:cs="Arial" w:eastAsia="Arial" w:hAnsi="Arial"/>
          <w:sz w:val="16"/>
          <w:szCs w:val="16"/>
          <w:color w:val="auto"/>
        </w:rPr>
        <w:t xml:space="preserve"> </w:t>
      </w:r>
      <w:r>
        <w:rPr>
          <w:rFonts w:ascii="Arial" w:cs="Arial" w:eastAsia="Arial" w:hAnsi="Arial"/>
          <w:sz w:val="16"/>
          <w:szCs w:val="16"/>
          <w:b w:val="1"/>
          <w:bCs w:val="1"/>
          <w:color w:val="auto"/>
        </w:rPr>
        <w:t>Addendum</w:t>
      </w:r>
      <w:r>
        <w:rPr>
          <w:rFonts w:ascii="Arial" w:cs="Arial" w:eastAsia="Arial" w:hAnsi="Arial"/>
          <w:sz w:val="16"/>
          <w:szCs w:val="16"/>
          <w:color w:val="auto"/>
        </w:rPr>
        <w:t>”) will be ascribed the same defined meanings as set forth in the Restricted Stock Award Agreement of which this Country Addendum forms a</w:t>
      </w:r>
      <w:r>
        <w:rPr>
          <w:rFonts w:ascii="Arial" w:cs="Arial" w:eastAsia="Arial" w:hAnsi="Arial"/>
          <w:sz w:val="16"/>
          <w:szCs w:val="16"/>
          <w:b w:val="1"/>
          <w:bCs w:val="1"/>
          <w:color w:val="auto"/>
        </w:rPr>
        <w:t xml:space="preserve"> </w:t>
      </w:r>
      <w:r>
        <w:rPr>
          <w:rFonts w:ascii="Arial" w:cs="Arial" w:eastAsia="Arial" w:hAnsi="Arial"/>
          <w:sz w:val="16"/>
          <w:szCs w:val="16"/>
          <w:color w:val="auto"/>
        </w:rPr>
        <w:t>part (or the Plan or other written agreement as specified in the Restricted Stock Award Agreement).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1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This Country Addendum includes additional terms and conditions that govern the Restricted Stock Award granted to Participant under the Plan to the extent Participant resides and/or works in one of the countries listed below. If Participant is a citizen or resident (or is considered as such for local law purposes) of a country other than the country in which Participant is currently residing and/or working, or if Participant transfers employment and/or residency to another country after the Restricted Stock Award is granted, the Company, in its discretion, will determine to what extent the terms and conditions contained herein will apply to Participant.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1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 xml:space="preserve">This Country Addendum also includes information regarding securities laws, exchange controls and certain other issues of which Participant should be aware with respect to Participant’s participation in the Plan. The information is provided solely for Participant’s convenience and is based on the securities, exchange control and other Applicable Laws in effect in the respective countries as of </w:t>
      </w:r>
      <w:r>
        <w:rPr>
          <w:rFonts w:ascii="Arial" w:cs="Arial" w:eastAsia="Arial" w:hAnsi="Arial"/>
          <w:sz w:val="16"/>
          <w:szCs w:val="16"/>
          <w:b w:val="1"/>
          <w:bCs w:val="1"/>
          <w:color w:val="auto"/>
        </w:rPr>
        <w:t>April 2021</w:t>
      </w:r>
      <w:r>
        <w:rPr>
          <w:rFonts w:ascii="Arial" w:cs="Arial" w:eastAsia="Arial" w:hAnsi="Arial"/>
          <w:sz w:val="16"/>
          <w:szCs w:val="16"/>
          <w:color w:val="auto"/>
        </w:rPr>
        <w:t>.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issuable pursuant to the Restricted Stock Award.</w:t>
      </w:r>
    </w:p>
    <w:p>
      <w:pPr>
        <w:spacing w:after="0" w:line="7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p>
    <w:p>
      <w:pPr>
        <w:spacing w:after="0" w:line="63"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Finally, if Participant is a citizen or resident (or is considered as such for local law purposes) of a country other than the one in which Participant currently is residing and/or working, or if Participant transfers residence and/or employment to another country after the grant of the Restricted Stock Award, the information in this Country Addendum may not apply to Participant in the same manner.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CANADA</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The following provision replaces the second paragraph of Sections 4 and 10(g) of the Restricted Stock Award Agreement in its entirety:</w:t>
      </w:r>
    </w:p>
    <w:p>
      <w:pPr>
        <w:spacing w:after="0" w:line="113"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16"/>
          <w:szCs w:val="16"/>
          <w:color w:val="auto"/>
        </w:rPr>
        <w:t>For purposes of the Restricted Stock Award, Participant’s status as a Service Provider will be considered terminated (regardless of the reason for such termination and whether or not later found to be invalid or in breach of employment laws in the jurisdiction where Participant is a Service Provider or the terms of Participant’s employment or service agreement, if any) as of the date that is the earliest of: (i) the date of termination of Participant’s status as a Service Provider, (ii) the date on which Participant receives notice of termination of his or her status as a Service Provider, and (iii) the date on which Participant ceases to be providing services to the Service Recipient, which date shall not be extended by any notice period or period of pay in lieu of such notice mandated under the employment laws of the jurisdiction in which Participant is providing service or the terms of Participant’s employment or other service agreement, if any. The Administrator shall have the exclusive discretion to determine when Participant no longer is actively providing services for purposes of the Award (including whether Participant may still be considered to be providing services while on a leave of absence).</w:t>
      </w:r>
    </w:p>
    <w:p>
      <w:pPr>
        <w:spacing w:after="0" w:line="7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Notwithstanding the foregoing, if applicable employment standards legislation explicitly requires continued vesting during a statutory notice period, Participant’s right to vest in the Restricted Stock Award, if any, will terminate effective upon the expiry of the minimum statutory notice period, but Participant will not earn or be entitled to prorated vesting if the vesting date falls after the end of the statutory notice period, nor will Participant be entitled to any compensation in lieu of any such prorated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Language</w:t>
      </w:r>
      <w:r>
        <w:rPr>
          <w:rFonts w:ascii="Arial" w:cs="Arial" w:eastAsia="Arial" w:hAnsi="Arial"/>
          <w:sz w:val="16"/>
          <w:szCs w:val="16"/>
          <w:color w:val="auto"/>
        </w:rPr>
        <w:t>. The parties acknowledge that it is Participant’s express wish that the Restricted Stock Award Agreement, as well as all documents, notices and</w:t>
      </w:r>
      <w:r>
        <w:rPr>
          <w:rFonts w:ascii="Arial" w:cs="Arial" w:eastAsia="Arial" w:hAnsi="Arial"/>
          <w:sz w:val="16"/>
          <w:szCs w:val="16"/>
          <w:b w:val="1"/>
          <w:bCs w:val="1"/>
          <w:color w:val="auto"/>
        </w:rPr>
        <w:t xml:space="preserve"> </w:t>
      </w:r>
      <w:r>
        <w:rPr>
          <w:rFonts w:ascii="Arial" w:cs="Arial" w:eastAsia="Arial" w:hAnsi="Arial"/>
          <w:sz w:val="16"/>
          <w:szCs w:val="16"/>
          <w:color w:val="auto"/>
        </w:rPr>
        <w:t>legal proceedings entered into, given or instituted pursuant hereto or relating directly or indirectly hereto, be drawn up in English.</w:t>
      </w:r>
    </w:p>
    <w:p>
      <w:pPr>
        <w:spacing w:after="0" w:line="5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Les parties reconnaissent que le participant souhaite expressément que le contrat d'attribution, ainsi que tous les documents, avis et procédures judiciaires conclus, donnés ou intentés en vertu des présentes ou s'y rapportant directement ou indirectement, soient rédigés en anglais.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Data Privacy</w:t>
      </w:r>
      <w:r>
        <w:rPr>
          <w:rFonts w:ascii="Arial" w:cs="Arial" w:eastAsia="Arial" w:hAnsi="Arial"/>
          <w:sz w:val="16"/>
          <w:szCs w:val="16"/>
          <w:color w:val="auto"/>
        </w:rPr>
        <w:t>. This provision supplements Section 13 of the Restricted Stock Award Agreement:</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Participant hereby authorizes any Service Recipient and any agents or representatives thereof to (i) discuss with and obtain all relevant information from all personnel, professional or non-professional, involved in the administration and operation of the Plan, and (ii) disclose and discuss any and all information relevant to the Plan with their advisers. Participant further authorizes any Service Recipient and any agents or representatives thereof to record such information and to keep such information in Participant’s file.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u w:val="single" w:color="auto"/>
          <w:color w:val="auto"/>
        </w:rPr>
        <w:t>Securities Law Notification</w:t>
      </w:r>
      <w:r>
        <w:rPr>
          <w:rFonts w:ascii="Arial" w:cs="Arial" w:eastAsia="Arial" w:hAnsi="Arial"/>
          <w:sz w:val="16"/>
          <w:szCs w:val="16"/>
          <w:color w:val="auto"/>
        </w:rPr>
        <w:t>. Participant is permitted to sell Shares acquired under the Plan through the designated broker appointed under the Plan, if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the resale of Shares acquired under the Plan takes place outside Canada through the facilities of the exchange on which the Shares are then listed.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INDIA</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u w:val="single" w:color="auto"/>
          <w:color w:val="auto"/>
        </w:rPr>
        <w:t>Exchange Control Notification</w:t>
      </w:r>
      <w:r>
        <w:rPr>
          <w:rFonts w:ascii="Arial" w:cs="Arial" w:eastAsia="Arial" w:hAnsi="Arial"/>
          <w:sz w:val="16"/>
          <w:szCs w:val="16"/>
          <w:color w:val="auto"/>
        </w:rPr>
        <w:t>. Participant is required to repatriate to India, or cause to be repatriated, any proceeds from the sale of Shares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and any dividends received in relation to the Shares within such time as prescribed under applicable Indian exchange control laws as may be amended from time to time. Participant should obtain a foreign inward remittance certificate (“</w:t>
      </w:r>
      <w:r>
        <w:rPr>
          <w:rFonts w:ascii="Arial" w:cs="Arial" w:eastAsia="Arial" w:hAnsi="Arial"/>
          <w:sz w:val="16"/>
          <w:szCs w:val="16"/>
          <w:u w:val="single" w:color="auto"/>
          <w:color w:val="auto"/>
        </w:rPr>
        <w:t>FIRC</w:t>
      </w:r>
      <w:r>
        <w:rPr>
          <w:rFonts w:ascii="Arial" w:cs="Arial" w:eastAsia="Arial" w:hAnsi="Arial"/>
          <w:sz w:val="16"/>
          <w:szCs w:val="16"/>
          <w:color w:val="auto"/>
        </w:rPr>
        <w:t xml:space="preserve">”) or other similar form from the bank where Participant deposits the funds and maintain the FIRC or other form as evidence of the repatriation of funds in the event the Reserve Bank of India or Participant’s employer requests proof of repatriation. </w:t>
      </w:r>
      <w:r>
        <w:rPr>
          <w:rFonts w:ascii="Arial" w:cs="Arial" w:eastAsia="Arial" w:hAnsi="Arial"/>
          <w:sz w:val="16"/>
          <w:szCs w:val="16"/>
          <w:i w:val="1"/>
          <w:iCs w:val="1"/>
          <w:color w:val="auto"/>
        </w:rPr>
        <w:t>Participant should consult with his or her personal legal adviser to ensure compliance with the applicable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auto"/>
        </w:rPr>
        <w:t>APPENDIX 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PAYMENTUS HOLDINGS,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2021 EQUITY INCENTIVE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RESTRICTIVE COVENANTS ADDENDUM TO RESTRICTED STOCK AWARD AGREEMENT</w:t>
      </w:r>
    </w:p>
    <w:p>
      <w:pPr>
        <w:spacing w:after="0" w:line="11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Unless otherwise defined herein, capitalized terms used in this Restrictive Covenants Addendum to Restricted Stock Award Agreement will be ascribed the same defined meanings as set forth in the Restricted Stock Award Agreement of which this Restrictive Covenants Addendum forms a part (or the Plan or other written agreement as specified in the Restricted Stock Award Agreement).</w:t>
      </w:r>
    </w:p>
    <w:p>
      <w:pPr>
        <w:spacing w:after="0" w:line="1" w:lineRule="exact"/>
        <w:rPr>
          <w:sz w:val="20"/>
          <w:szCs w:val="20"/>
          <w:color w:val="auto"/>
        </w:rPr>
      </w:pPr>
    </w:p>
    <w:p>
      <w:pPr>
        <w:ind w:left="760" w:hanging="752"/>
        <w:spacing w:after="0"/>
        <w:tabs>
          <w:tab w:leader="none" w:pos="76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Information</w:t>
      </w:r>
    </w:p>
    <w:p>
      <w:pPr>
        <w:spacing w:after="0" w:line="97" w:lineRule="exact"/>
        <w:rPr>
          <w:rFonts w:ascii="Arial" w:cs="Arial" w:eastAsia="Arial" w:hAnsi="Arial"/>
          <w:sz w:val="16"/>
          <w:szCs w:val="16"/>
          <w:b w:val="1"/>
          <w:bCs w:val="1"/>
          <w:color w:val="auto"/>
        </w:rPr>
      </w:pPr>
    </w:p>
    <w:p>
      <w:pPr>
        <w:jc w:val="both"/>
        <w:ind w:left="1500" w:hanging="743"/>
        <w:spacing w:after="0" w:line="250" w:lineRule="auto"/>
        <w:tabs>
          <w:tab w:leader="none" w:pos="15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Participant expressly agrees that, throughout the term of Participant’s employment with the Company and at all times following the cessation of Participant’s employment from the Company, for so long as the information remains confidential, Participant will not acquire, use, transfer, download, print, or disclose any Confidential Information other than for the purpose to carry out the duties of Participant’s employment for the benefit of the Company (but in all cases preserving confidentiality by following the Company’s policies and procedures). Participant agrees to take all reasonable measures to protect the secrecy of and avoid disclosure or use of Confidential Information in order to prevent it from falling into the public domain or into the possession of any Competing Business or any persons other than those persons authorized under this Restrictive Covenants Addendum to have such information for the benefit of the Company. Participant agrees to notify the Company in writing of any actual or suspected misuse, misappropriation, or unauthorized disclosure of Confidential Information that may come to Participant’s attention. Participant acknowledges that if Participant discloses or uses knowledge of the Company’s Confidential Information to gain an advantage for Participant, for any Competing Business, or for any other person or entity other than the Company, such an advantage so obtained would be unfair and detrimental to the Company.</w:t>
      </w:r>
    </w:p>
    <w:p>
      <w:pPr>
        <w:spacing w:after="0" w:line="267" w:lineRule="exact"/>
        <w:rPr>
          <w:rFonts w:ascii="Arial" w:cs="Arial" w:eastAsia="Arial" w:hAnsi="Arial"/>
          <w:sz w:val="16"/>
          <w:szCs w:val="16"/>
          <w:color w:val="auto"/>
        </w:rPr>
      </w:pPr>
    </w:p>
    <w:p>
      <w:pPr>
        <w:ind w:left="1500" w:hanging="743"/>
        <w:spacing w:after="0"/>
        <w:tabs>
          <w:tab w:leader="none" w:pos="15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Participant shall not be held criminally or civilly liable under any federal or state trade secret law for the disclosure of a trade secret that</w:t>
      </w:r>
    </w:p>
    <w:p>
      <w:pPr>
        <w:spacing w:after="0" w:line="21" w:lineRule="exact"/>
        <w:rPr>
          <w:rFonts w:ascii="Arial" w:cs="Arial" w:eastAsia="Arial" w:hAnsi="Arial"/>
          <w:sz w:val="16"/>
          <w:szCs w:val="16"/>
          <w:color w:val="auto"/>
        </w:rPr>
      </w:pPr>
    </w:p>
    <w:p>
      <w:pPr>
        <w:jc w:val="both"/>
        <w:ind w:left="1500" w:firstLine="6"/>
        <w:spacing w:after="0" w:line="256" w:lineRule="auto"/>
        <w:tabs>
          <w:tab w:leader="none" w:pos="1768" w:val="left"/>
        </w:tabs>
        <w:numPr>
          <w:ilvl w:val="2"/>
          <w:numId w:val="39"/>
        </w:numPr>
        <w:rPr>
          <w:rFonts w:ascii="Arial" w:cs="Arial" w:eastAsia="Arial" w:hAnsi="Arial"/>
          <w:sz w:val="16"/>
          <w:szCs w:val="16"/>
          <w:color w:val="auto"/>
        </w:rPr>
      </w:pPr>
      <w:r>
        <w:rPr>
          <w:rFonts w:ascii="Arial" w:cs="Arial" w:eastAsia="Arial" w:hAnsi="Arial"/>
          <w:sz w:val="16"/>
          <w:szCs w:val="16"/>
          <w:color w:val="auto"/>
        </w:rPr>
        <w:t>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70" w:lineRule="exact"/>
        <w:rPr>
          <w:rFonts w:ascii="Arial" w:cs="Arial" w:eastAsia="Arial" w:hAnsi="Arial"/>
          <w:sz w:val="16"/>
          <w:szCs w:val="16"/>
          <w:color w:val="auto"/>
        </w:rPr>
      </w:pPr>
    </w:p>
    <w:p>
      <w:pPr>
        <w:jc w:val="both"/>
        <w:ind w:left="1500" w:hanging="743"/>
        <w:spacing w:after="0" w:line="249" w:lineRule="auto"/>
        <w:tabs>
          <w:tab w:leader="none" w:pos="15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Nothing contained in this Restrictive Covenants Addendum is intended to prohibit Participant from disclosing or discussing information relating to compensation or working conditions protected by the National Labor Relations Act or applicable law. Additionally, nothing contained in this Restrictive Covenants Addendum prohibits or prevents Participant from filing a charge with or participating, testifying, or assisting in any investigation, hearing, whistleblower proceeding, or other proceeding before any federal, state, or local government agency (e.g., EEOC, NLRB, SEC, etc.) or in any legislative or judicial proceeding nor does anything in this Restrictive Covenants Addendum preclude, prohibit or otherwise limit, in any way, Participant’s rights and abilities to contact, communicate with or report unlawful conduct to federal, state, or local officials for investigation or participate in any whistleblower program administered by such agencies. The Company further acknowledges Participant’s rights to make truthful statements or disclosures required by law, regulation, or legal process and to request or receive confidential legal advice, and nothing in this Restrictive Covenants Addendum shall be deemed to impair those rights. The Company also acknowledges Participant’s rights to make truthful statements or disclosures about unlawful employment practices which are defined to mean any form of unlawful discrimination, harassment, or retaliation that is actionable under Title VII of the Civil Rights Act of 1964 or any comparable state statue or any other related federal or state rule or law that is enforced by the Equal Employment Opportunity Commission or any comparable state agency.</w:t>
      </w:r>
    </w:p>
    <w:p>
      <w:pPr>
        <w:spacing w:after="0" w:line="83" w:lineRule="exact"/>
        <w:rPr>
          <w:rFonts w:ascii="Arial" w:cs="Arial" w:eastAsia="Arial" w:hAnsi="Arial"/>
          <w:sz w:val="16"/>
          <w:szCs w:val="16"/>
          <w:color w:val="auto"/>
        </w:rPr>
      </w:pPr>
    </w:p>
    <w:p>
      <w:pPr>
        <w:jc w:val="both"/>
        <w:ind w:left="760" w:hanging="752"/>
        <w:spacing w:after="0" w:line="254" w:lineRule="auto"/>
        <w:tabs>
          <w:tab w:leader="none" w:pos="76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Limited Non-Compete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acknowledge and agree that, as a result of Participant’s employment with the Company: (i)</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has and will have access to and be involved in the development and utilization of the Company’s Confidential Information; (ii) Participant will develop and maintain critical relationships with the Company’s customers, prospective customers, employees, consultants, and independent contractors; and (iii) Participant will be responsible for further developing and strengthening the Company’s goodwill in the market. Accordingly, Participant expressly agrees that Participant will not Compete with the Company during the Restricted Period within the Restricted Territory on behalf of any Competing Business.</w:t>
      </w:r>
    </w:p>
    <w:p>
      <w:pPr>
        <w:spacing w:after="0" w:line="73" w:lineRule="exact"/>
        <w:rPr>
          <w:rFonts w:ascii="Arial" w:cs="Arial" w:eastAsia="Arial" w:hAnsi="Arial"/>
          <w:sz w:val="16"/>
          <w:szCs w:val="16"/>
          <w:b w:val="1"/>
          <w:bCs w:val="1"/>
          <w:color w:val="auto"/>
        </w:rPr>
      </w:pPr>
    </w:p>
    <w:p>
      <w:pPr>
        <w:ind w:left="760" w:hanging="752"/>
        <w:spacing w:after="0" w:line="286" w:lineRule="auto"/>
        <w:tabs>
          <w:tab w:leader="none" w:pos="76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Non-Solicitation of Customers/Prospective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expressly agrees that during the Restricted Period, Participant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indirectly, either alone or by assisting or acting in concert with others,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1" w:name="page52"/>
    <w:bookmarkEnd w:id="51"/>
    <w:p>
      <w:pPr>
        <w:spacing w:after="0" w:line="90" w:lineRule="exact"/>
        <w:rPr>
          <w:sz w:val="20"/>
          <w:szCs w:val="20"/>
          <w:color w:val="auto"/>
        </w:rPr>
      </w:pPr>
    </w:p>
    <w:p>
      <w:pPr>
        <w:jc w:val="both"/>
        <w:ind w:left="760"/>
        <w:spacing w:after="0" w:line="256" w:lineRule="auto"/>
        <w:rPr>
          <w:sz w:val="20"/>
          <w:szCs w:val="20"/>
          <w:color w:val="auto"/>
        </w:rPr>
      </w:pPr>
      <w:r>
        <w:rPr>
          <w:rFonts w:ascii="Arial" w:cs="Arial" w:eastAsia="Arial" w:hAnsi="Arial"/>
          <w:sz w:val="16"/>
          <w:szCs w:val="16"/>
          <w:color w:val="auto"/>
        </w:rPr>
        <w:t>behalf of themselves or any other person, business, entity, including but not limited to on behalf of a Competing Business, solicit, persuade, induce, encourage, divert, or attempt to solicit, persuade, induce, encourage, or divert, or otherwise accept business from, any Customer or Prospective Customer with whom Participant had Material Contact, for the purpose of interfering in the relationship between such Customer or Prospective Customer and the Company, or providing products or services that are competitive with or could replace the Company’s products or services in the Company’s Business.</w:t>
      </w:r>
    </w:p>
    <w:p>
      <w:pPr>
        <w:spacing w:after="0" w:line="72" w:lineRule="exact"/>
        <w:rPr>
          <w:sz w:val="20"/>
          <w:szCs w:val="20"/>
          <w:color w:val="auto"/>
        </w:rPr>
      </w:pPr>
    </w:p>
    <w:p>
      <w:pPr>
        <w:jc w:val="both"/>
        <w:ind w:left="760" w:hanging="752"/>
        <w:spacing w:after="0" w:line="256" w:lineRule="auto"/>
        <w:tabs>
          <w:tab w:leader="none" w:pos="76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Non-Raiding of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expressly agrees that during the Restricted Period, Participant will not, directly or indirectly, either alone</w:t>
      </w:r>
      <w:r>
        <w:rPr>
          <w:rFonts w:ascii="Arial" w:cs="Arial" w:eastAsia="Arial" w:hAnsi="Arial"/>
          <w:sz w:val="16"/>
          <w:szCs w:val="16"/>
          <w:b w:val="1"/>
          <w:bCs w:val="1"/>
          <w:color w:val="auto"/>
        </w:rPr>
        <w:t xml:space="preserve"> </w:t>
      </w:r>
      <w:r>
        <w:rPr>
          <w:rFonts w:ascii="Arial" w:cs="Arial" w:eastAsia="Arial" w:hAnsi="Arial"/>
          <w:sz w:val="16"/>
          <w:szCs w:val="16"/>
          <w:color w:val="auto"/>
        </w:rPr>
        <w:t>or by assisting or acting in concert with others, on behalf of themselves or any other person, business or entity, solicit, induce, encourage or attempt to solicit, induce or encourage any then current employee or independent contractor of the Company (each, a “Restricted Employee”) to alter or terminate their relationship with the Company, or hire, employ, recruit or attempt to hire, employ or recruit any Restricted Employee on behalf of any other person, business or entity.</w:t>
      </w:r>
    </w:p>
    <w:p>
      <w:pPr>
        <w:spacing w:after="0" w:line="71" w:lineRule="exact"/>
        <w:rPr>
          <w:rFonts w:ascii="Arial" w:cs="Arial" w:eastAsia="Arial" w:hAnsi="Arial"/>
          <w:sz w:val="16"/>
          <w:szCs w:val="16"/>
          <w:b w:val="1"/>
          <w:bCs w:val="1"/>
          <w:color w:val="auto"/>
        </w:rPr>
      </w:pPr>
    </w:p>
    <w:p>
      <w:pPr>
        <w:jc w:val="both"/>
        <w:ind w:left="760" w:hanging="752"/>
        <w:spacing w:after="0" w:line="248" w:lineRule="auto"/>
        <w:tabs>
          <w:tab w:leader="none" w:pos="76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that Participant breaches any of the restrictive covenants set forth in this Restrictive Covenants Addendum, the then-unvested portion of the Restricted Stock Award awarded by this Award Agreement will thereupon be forfeited at no cost to the Company and Participant will have no further rights thereunder. Participant agrees that the obligations set forth in this Restrictive Covenants Addendum are necessary and reasonable in order to protect the Company’s legitimate business interests and (without limiting the foregoing) that the obligations set forth in this Restrictive Covenants Addendum are necessary and reasonable in order to protect the Company’s legitimate business interests in protecting its Confidential Information, customer and employee relationships and the goodwill associated therewith. Participant expressly agrees that due to the unique nature of the Company’s Confidential Information, and its relationships with its customers and employees, monetary damages would be inadequate to compensate the Company for any breach by Participant of the covenants and agreements set forth in this Restrictive Covenants Addendum. Accordingly, Participant agrees and acknowledges that any such violation or threatened violation shall cause irreparable injury to the Company and that, in addition to forfeiture of any unvested portion of the Restricted Stock Award and any other remedies that may be available in law, in equity, or otherwise, the Company shall be entitled: (a) to obtain injunctive relief against the threatened breach of this Restrictive Covenants Addendum or the continuation of any such breach by Participant, without the necessity of proving actual damages, and without necessity of posting bond; and (b) to recover any costs or attorneys’ fees, arising out of or in connection with any breach or threatened breach by Participant or any action relating to Participant’s obligations under this Restrictive Covenants Addendum. Any such equitable relief sought or obtained pursuant to this Restrictive Covenants Addendum will not be the Company’s exclusive remedy to address Participant’s breach or threatened breach of the provisions herein, and the Company shall be entitled to pursue all remedies available, including but not limited to actual damages, pursuant to applicable law. No claim, demand, action, or cause of action that Participant may have against the Company shall constitute a defense to the Company’s enforcement of any of its rights or Participant’s obligations hereunder by the Company or the Company’s successors or assigns.</w:t>
      </w:r>
    </w:p>
    <w:p>
      <w:pPr>
        <w:spacing w:after="0" w:line="276" w:lineRule="exact"/>
        <w:rPr>
          <w:rFonts w:ascii="Arial" w:cs="Arial" w:eastAsia="Arial" w:hAnsi="Arial"/>
          <w:sz w:val="16"/>
          <w:szCs w:val="16"/>
          <w:b w:val="1"/>
          <w:bCs w:val="1"/>
          <w:color w:val="auto"/>
        </w:rPr>
      </w:pPr>
    </w:p>
    <w:p>
      <w:pPr>
        <w:jc w:val="both"/>
        <w:ind w:left="760" w:hanging="752"/>
        <w:spacing w:after="0" w:line="253" w:lineRule="auto"/>
        <w:tabs>
          <w:tab w:leader="none" w:pos="76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Tolling</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and agrees that the Restricted Period shall be tolled on a day-for-day basis for all periods in which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is in breach of the obligations contained in this Restrictive Covenants Addendum, so that the Company receives the full benefit of the Restricted Period to which Participant has agreed herein. Participant also agrees that if Participant or the Company institutes litigation to enforce or challenge the protective covenants in this Restrictive Covenants Addendum, and Participant is not enjoined from breaching one or more of the protective covenants contained in this Restrictive Covenants Addendum, and a court thereafter determines that one or more of the protective covenants are enforceable, the Restricted Period shall be tolled (i.e. suspended) beginning on the date the litigation was instituted until the litigation is finally resolved and all periods of appeal have expired.</w:t>
      </w:r>
    </w:p>
    <w:p>
      <w:pPr>
        <w:spacing w:after="0" w:line="73" w:lineRule="exact"/>
        <w:rPr>
          <w:rFonts w:ascii="Arial" w:cs="Arial" w:eastAsia="Arial" w:hAnsi="Arial"/>
          <w:sz w:val="16"/>
          <w:szCs w:val="16"/>
          <w:b w:val="1"/>
          <w:bCs w:val="1"/>
          <w:color w:val="auto"/>
        </w:rPr>
      </w:pPr>
    </w:p>
    <w:p>
      <w:pPr>
        <w:ind w:left="760" w:hanging="752"/>
        <w:spacing w:after="0" w:line="286" w:lineRule="auto"/>
        <w:tabs>
          <w:tab w:leader="none" w:pos="76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purposes throughout this Restrictive Covenants Addendum, the terms defined below shall have the respective meanings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in this section.</w:t>
      </w:r>
    </w:p>
    <w:p>
      <w:pPr>
        <w:spacing w:after="0" w:line="47" w:lineRule="exact"/>
        <w:rPr>
          <w:rFonts w:ascii="Arial" w:cs="Arial" w:eastAsia="Arial" w:hAnsi="Arial"/>
          <w:sz w:val="16"/>
          <w:szCs w:val="16"/>
          <w:b w:val="1"/>
          <w:bCs w:val="1"/>
          <w:color w:val="auto"/>
        </w:rPr>
      </w:pPr>
    </w:p>
    <w:p>
      <w:pPr>
        <w:ind w:left="1500" w:hanging="743"/>
        <w:spacing w:after="0" w:line="286" w:lineRule="auto"/>
        <w:tabs>
          <w:tab w:leader="none" w:pos="15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“Business” means the business of investing and operating in payments, payments networks, billing, billing solutions, software and technology-enabled businesses, including a continuous program of research, development, production and marketing.</w:t>
      </w:r>
    </w:p>
    <w:p>
      <w:pPr>
        <w:spacing w:after="0" w:line="47" w:lineRule="exact"/>
        <w:rPr>
          <w:rFonts w:ascii="Arial" w:cs="Arial" w:eastAsia="Arial" w:hAnsi="Arial"/>
          <w:sz w:val="16"/>
          <w:szCs w:val="16"/>
          <w:color w:val="auto"/>
        </w:rPr>
      </w:pPr>
    </w:p>
    <w:p>
      <w:pPr>
        <w:jc w:val="both"/>
        <w:ind w:left="1500" w:hanging="743"/>
        <w:spacing w:after="0" w:line="254" w:lineRule="auto"/>
        <w:tabs>
          <w:tab w:leader="none" w:pos="15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“Cause” shall mean voluntary resignation, disability that renders Participant incapable of performing the essential functions of Participant’s job, with or without reasonable accommodation, after Participant has exhausted any leave available under applicable law or Company policy, job abandonment, substandard performance, engaging in any act or omission deemed to be against the best interests of the Company, unsafe, threatening or violent activity or conduct, and any other conduct that could reasonably be perceived as damaging the Company’s reputation or interfering with its business interests. A termination for Cause may be based on conduct that takes place in or outside the workplace. Cause shall be determined in the sole discretion of the Company.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90" w:lineRule="exact"/>
        <w:rPr>
          <w:sz w:val="20"/>
          <w:szCs w:val="20"/>
          <w:color w:val="auto"/>
        </w:rPr>
      </w:pPr>
    </w:p>
    <w:p>
      <w:pPr>
        <w:jc w:val="both"/>
        <w:ind w:left="743" w:hanging="743"/>
        <w:spacing w:after="0" w:line="256" w:lineRule="auto"/>
        <w:tabs>
          <w:tab w:leader="none" w:pos="7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“Compete” shall mean: (i) providing the same or similar services or expertise Participant provided to the Company at any time during the twelve (12) months prior to cessation of employment; (ii) any involvement where Participant will be responsible for managing others, participating in strategic decision-making, engaging in research or development, or personally selling products or services that are the same as or substantially similar to the products or services market, sold, or provided by the Company; or (iii) any other capacity where Participant’s knowledge of the Company’s Confidential Information could provide a competitive advantage to any Competing Business.</w:t>
      </w:r>
    </w:p>
    <w:p>
      <w:pPr>
        <w:spacing w:after="0" w:line="71" w:lineRule="exact"/>
        <w:rPr>
          <w:rFonts w:ascii="Arial" w:cs="Arial" w:eastAsia="Arial" w:hAnsi="Arial"/>
          <w:sz w:val="16"/>
          <w:szCs w:val="16"/>
          <w:color w:val="auto"/>
        </w:rPr>
      </w:pPr>
    </w:p>
    <w:p>
      <w:pPr>
        <w:jc w:val="both"/>
        <w:ind w:left="743" w:hanging="743"/>
        <w:spacing w:after="0" w:line="254" w:lineRule="auto"/>
        <w:tabs>
          <w:tab w:leader="none" w:pos="7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“Competing Business” shall mean any person or entity in the business of developing, distributing, selling, supplying or otherwise dealing with (including but not limited to technical and product support, professional services, technical advice and other customer services) billing and payment solutions (products and services) that offer billers the ability to send bills via electronic channels, receive payments of all types, reconcile payments in real time, and empower customers to work with a self-service billing portal and any other products or services that could replace and are therefore competitive with those offered by the Company or any predecessor within the two (2) years prior to the cessation of Participant’s employment.</w:t>
      </w:r>
    </w:p>
    <w:p>
      <w:pPr>
        <w:spacing w:after="0" w:line="73" w:lineRule="exact"/>
        <w:rPr>
          <w:rFonts w:ascii="Arial" w:cs="Arial" w:eastAsia="Arial" w:hAnsi="Arial"/>
          <w:sz w:val="16"/>
          <w:szCs w:val="16"/>
          <w:color w:val="auto"/>
        </w:rPr>
      </w:pPr>
    </w:p>
    <w:p>
      <w:pPr>
        <w:jc w:val="both"/>
        <w:ind w:left="743" w:hanging="743"/>
        <w:spacing w:after="0" w:line="247" w:lineRule="auto"/>
        <w:tabs>
          <w:tab w:leader="none" w:pos="7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“Confidential Information” shall mean sensitive business information having actual or potential value to the Company or its affiliates because it is not generally known to the general public or ascertainable by a Competing Business, and which has been disclosed to Participant, or of which Participant will become aware, as a consequence of the employment with the Company. Confidential Information includes, but is not limited to, the Company’s investment strategies, management planning information, business plans, operational methods, market studies, marketing plans or strategies, patent information, business acquisition plans, past, current and planned research and development, formulas, methods, patterns, processes, procedures, instructions, designs, inventions, operations, engineering, drawings, equipment, devices, technology, software systems, price lists, sales reports and records, sales books and manuals, code books, financial information and projections, personnel data such as compensation, strengths, weaknesses, and experience, names of customers, customer lists and contact information, customer pricing and purchasing information, lists of targeted prospective customers, supplier lists, product/service and marketing data and programs, product/service plans, product development, advertising campaigns, new product designs or roll out, agreements with third parties, or any information designated by the Company as being “confidential.” Confidential Information may be in written or non-written form, as well as information held on electronic media or networks, magnetic storage, cloud storage service, or other similar media. The Company has invested and will continue to invest extensive time, resources, talent, and effort to develop its Confidential Information, all of which generates goodwill for the Company. Participant acknowledges that the Company has taken reasonable and adequate steps to control access to the Confidential Information and to prevent unauthorized disclosure, which could cause injury to the Company. This definition shall not limit any broader definition of “confidential information” or any equivalent term under applicable state or federal law. Confidential Information shall not include any information that (i) is or becomes generally available to the public other than as a result of an unauthorized or unintentional disclosure,</w:t>
      </w:r>
    </w:p>
    <w:p>
      <w:pPr>
        <w:spacing w:after="0" w:line="9" w:lineRule="exact"/>
        <w:rPr>
          <w:rFonts w:ascii="Arial" w:cs="Arial" w:eastAsia="Arial" w:hAnsi="Arial"/>
          <w:sz w:val="16"/>
          <w:szCs w:val="16"/>
          <w:color w:val="auto"/>
        </w:rPr>
      </w:pPr>
    </w:p>
    <w:p>
      <w:pPr>
        <w:ind w:left="983" w:hanging="234"/>
        <w:spacing w:after="0"/>
        <w:tabs>
          <w:tab w:leader="none" w:pos="983" w:val="left"/>
        </w:tabs>
        <w:numPr>
          <w:ilvl w:val="1"/>
          <w:numId w:val="41"/>
        </w:numPr>
        <w:rPr>
          <w:rFonts w:ascii="Arial" w:cs="Arial" w:eastAsia="Arial" w:hAnsi="Arial"/>
          <w:sz w:val="16"/>
          <w:szCs w:val="16"/>
          <w:color w:val="auto"/>
        </w:rPr>
      </w:pPr>
      <w:r>
        <w:rPr>
          <w:rFonts w:ascii="Arial" w:cs="Arial" w:eastAsia="Arial" w:hAnsi="Arial"/>
          <w:sz w:val="16"/>
          <w:szCs w:val="16"/>
          <w:color w:val="auto"/>
        </w:rPr>
        <w:t>has been independently developed and disclosed by others without violating any obligations to the Company or applicable law, or</w:t>
      </w:r>
    </w:p>
    <w:p>
      <w:pPr>
        <w:spacing w:after="0" w:line="5" w:lineRule="exact"/>
        <w:rPr>
          <w:rFonts w:ascii="Arial" w:cs="Arial" w:eastAsia="Arial" w:hAnsi="Arial"/>
          <w:sz w:val="16"/>
          <w:szCs w:val="16"/>
          <w:color w:val="auto"/>
        </w:rPr>
      </w:pPr>
    </w:p>
    <w:p>
      <w:pPr>
        <w:ind w:left="1003" w:hanging="254"/>
        <w:spacing w:after="0"/>
        <w:tabs>
          <w:tab w:leader="none" w:pos="1003" w:val="left"/>
        </w:tabs>
        <w:numPr>
          <w:ilvl w:val="1"/>
          <w:numId w:val="41"/>
        </w:numPr>
        <w:rPr>
          <w:rFonts w:ascii="Arial" w:cs="Arial" w:eastAsia="Arial" w:hAnsi="Arial"/>
          <w:sz w:val="16"/>
          <w:szCs w:val="16"/>
          <w:color w:val="auto"/>
        </w:rPr>
      </w:pPr>
      <w:r>
        <w:rPr>
          <w:rFonts w:ascii="Arial" w:cs="Arial" w:eastAsia="Arial" w:hAnsi="Arial"/>
          <w:sz w:val="16"/>
          <w:szCs w:val="16"/>
          <w:color w:val="auto"/>
        </w:rPr>
        <w:t>otherwise enters the public domain through lawful means.</w:t>
      </w:r>
    </w:p>
    <w:p>
      <w:pPr>
        <w:spacing w:after="0" w:line="97" w:lineRule="exact"/>
        <w:rPr>
          <w:rFonts w:ascii="Arial" w:cs="Arial" w:eastAsia="Arial" w:hAnsi="Arial"/>
          <w:sz w:val="16"/>
          <w:szCs w:val="16"/>
          <w:color w:val="auto"/>
        </w:rPr>
      </w:pPr>
    </w:p>
    <w:p>
      <w:pPr>
        <w:jc w:val="both"/>
        <w:ind w:left="743" w:hanging="743"/>
        <w:spacing w:after="0" w:line="266" w:lineRule="auto"/>
        <w:tabs>
          <w:tab w:leader="none" w:pos="7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“Customer” of the Company shall mean any business or entity that agreed, verbally or in writing, to purchase products or services from the Company or actually purchased products or services from the Company within the twelve (12) months preceding the cessation of Participant’s employment with the Company.</w:t>
      </w:r>
    </w:p>
    <w:p>
      <w:pPr>
        <w:spacing w:after="0" w:line="63" w:lineRule="exact"/>
        <w:rPr>
          <w:rFonts w:ascii="Arial" w:cs="Arial" w:eastAsia="Arial" w:hAnsi="Arial"/>
          <w:sz w:val="16"/>
          <w:szCs w:val="16"/>
          <w:color w:val="auto"/>
        </w:rPr>
      </w:pPr>
    </w:p>
    <w:p>
      <w:pPr>
        <w:ind w:left="743" w:hanging="743"/>
        <w:spacing w:after="0" w:line="286" w:lineRule="auto"/>
        <w:tabs>
          <w:tab w:leader="none" w:pos="7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term “employment” shall include service as an employee, consultant, or other service provider of the Company or any Subsidiary or Parent of the Company.</w:t>
      </w:r>
    </w:p>
    <w:p>
      <w:pPr>
        <w:spacing w:after="0" w:line="47" w:lineRule="exact"/>
        <w:rPr>
          <w:rFonts w:ascii="Arial" w:cs="Arial" w:eastAsia="Arial" w:hAnsi="Arial"/>
          <w:sz w:val="16"/>
          <w:szCs w:val="16"/>
          <w:color w:val="auto"/>
        </w:rPr>
      </w:pPr>
    </w:p>
    <w:p>
      <w:pPr>
        <w:jc w:val="both"/>
        <w:ind w:left="743" w:hanging="743"/>
        <w:spacing w:after="0" w:line="254" w:lineRule="auto"/>
        <w:tabs>
          <w:tab w:leader="none" w:pos="7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Participant will be deemed to have had “Material Contact” with any Customer or Prospective Customer of the Company if, in the twelve (12) months prior to the cessation of Participant’s employment with the Company, the Customer or Prospective Customer is one: (i) with whom or which Participant dealt on behalf of the Company; (ii) whose dealings with the Company were coordinated or supervised by Participant; (iii) about whom Participant obtained Confidential Information in the ordinary course of business as a result of Participant’s employment with the Company; or (iv) who received products or services authorized by the Company, the sale or provision of which resulted in compensation, commissions, or earnings for Participant.</w:t>
      </w:r>
    </w:p>
    <w:p>
      <w:pPr>
        <w:spacing w:after="0" w:line="73" w:lineRule="exact"/>
        <w:rPr>
          <w:rFonts w:ascii="Arial" w:cs="Arial" w:eastAsia="Arial" w:hAnsi="Arial"/>
          <w:sz w:val="16"/>
          <w:szCs w:val="16"/>
          <w:color w:val="auto"/>
        </w:rPr>
      </w:pPr>
    </w:p>
    <w:p>
      <w:pPr>
        <w:jc w:val="both"/>
        <w:ind w:left="743" w:hanging="743"/>
        <w:spacing w:after="0" w:line="266" w:lineRule="auto"/>
        <w:tabs>
          <w:tab w:leader="none" w:pos="7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“Prospective Customer” shall mean any business or entity that is not a Customer, but to whom Participant provided a bid, quote for products or services, or about whom Participant obtained Confidential Information for the purposes of securing a sale, during the twelve (12) months preceding cessation of Participant’s employment with the Company.</w:t>
      </w:r>
    </w:p>
    <w:p>
      <w:pPr>
        <w:spacing w:after="0" w:line="199" w:lineRule="exact"/>
        <w:rPr>
          <w:sz w:val="20"/>
          <w:szCs w:val="20"/>
          <w:color w:val="auto"/>
        </w:rPr>
      </w:pPr>
    </w:p>
    <w:p>
      <w:pPr>
        <w:ind w:left="4743"/>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53" w:name="page54"/>
    <w:bookmarkEnd w:id="53"/>
    <w:p>
      <w:pPr>
        <w:spacing w:after="0" w:line="90" w:lineRule="exact"/>
        <w:rPr>
          <w:sz w:val="20"/>
          <w:szCs w:val="20"/>
          <w:color w:val="auto"/>
        </w:rPr>
      </w:pPr>
    </w:p>
    <w:p>
      <w:pPr>
        <w:ind w:left="1500" w:hanging="743"/>
        <w:spacing w:after="0" w:line="286" w:lineRule="auto"/>
        <w:tabs>
          <w:tab w:leader="none" w:pos="15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“Restricted Period” shall mean the entire period of Participant’s employment with the Company and a twelve (12) month period immediately following the cessation of Participant’s employment.</w:t>
      </w:r>
    </w:p>
    <w:p>
      <w:pPr>
        <w:spacing w:after="0" w:line="47" w:lineRule="exact"/>
        <w:rPr>
          <w:rFonts w:ascii="Arial" w:cs="Arial" w:eastAsia="Arial" w:hAnsi="Arial"/>
          <w:sz w:val="16"/>
          <w:szCs w:val="16"/>
          <w:color w:val="auto"/>
        </w:rPr>
      </w:pPr>
    </w:p>
    <w:p>
      <w:pPr>
        <w:jc w:val="both"/>
        <w:ind w:left="1500" w:hanging="743"/>
        <w:spacing w:after="0" w:line="256" w:lineRule="auto"/>
        <w:tabs>
          <w:tab w:leader="none" w:pos="15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“Restricted Territory” shall mean (i) Participant’s designated territory or area of responsibility as of the cessation of Participant’s employment with the Company; and (ii) the geographic areas in which Participant, during any time in the last twelve (12) months of employment with the Company, provided services or had a material presence or influence. Acts done by Participant outside the “Restricted Territory” shall be deemed to be done within the “Restricted Territory” where their primary purpose or effect is to compete with the Company on behalf of a Competing Business within the “Restricted Territory.”</w:t>
      </w:r>
    </w:p>
    <w:p>
      <w:pPr>
        <w:spacing w:after="0" w:line="71" w:lineRule="exact"/>
        <w:rPr>
          <w:rFonts w:ascii="Arial" w:cs="Arial" w:eastAsia="Arial" w:hAnsi="Arial"/>
          <w:sz w:val="16"/>
          <w:szCs w:val="16"/>
          <w:color w:val="auto"/>
        </w:rPr>
      </w:pPr>
    </w:p>
    <w:p>
      <w:pPr>
        <w:jc w:val="both"/>
        <w:ind w:left="760" w:hanging="752"/>
        <w:spacing w:after="0" w:line="266" w:lineRule="auto"/>
        <w:tabs>
          <w:tab w:leader="none" w:pos="76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Participant’s Right to Consult with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that Participant has been provided an opportunity, and has been made</w:t>
      </w:r>
      <w:r>
        <w:rPr>
          <w:rFonts w:ascii="Arial" w:cs="Arial" w:eastAsia="Arial" w:hAnsi="Arial"/>
          <w:sz w:val="16"/>
          <w:szCs w:val="16"/>
          <w:b w:val="1"/>
          <w:bCs w:val="1"/>
          <w:color w:val="auto"/>
        </w:rPr>
        <w:t xml:space="preserve"> </w:t>
      </w:r>
      <w:r>
        <w:rPr>
          <w:rFonts w:ascii="Arial" w:cs="Arial" w:eastAsia="Arial" w:hAnsi="Arial"/>
          <w:sz w:val="16"/>
          <w:szCs w:val="16"/>
          <w:color w:val="auto"/>
        </w:rPr>
        <w:t>aware of Participant’s right, to consult with counsel of their choosing at Participant’s expense prior to entering into the Award Agreement, including specifically (but without limitation) the restrictive covenants in this Restrictive Covenants Addendum.</w:t>
      </w:r>
    </w:p>
    <w:p>
      <w:pPr>
        <w:spacing w:after="0" w:line="63" w:lineRule="exact"/>
        <w:rPr>
          <w:rFonts w:ascii="Arial" w:cs="Arial" w:eastAsia="Arial" w:hAnsi="Arial"/>
          <w:sz w:val="16"/>
          <w:szCs w:val="16"/>
          <w:b w:val="1"/>
          <w:bCs w:val="1"/>
          <w:color w:val="auto"/>
        </w:rPr>
      </w:pPr>
    </w:p>
    <w:p>
      <w:pPr>
        <w:jc w:val="both"/>
        <w:ind w:left="760" w:hanging="752"/>
        <w:spacing w:after="0" w:line="252" w:lineRule="auto"/>
        <w:tabs>
          <w:tab w:leader="none" w:pos="76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Notification of New Employer</w:t>
      </w:r>
      <w:r>
        <w:rPr>
          <w:rFonts w:ascii="Arial" w:cs="Arial" w:eastAsia="Arial" w:hAnsi="Arial"/>
          <w:sz w:val="16"/>
          <w:szCs w:val="16"/>
          <w:b w:val="1"/>
          <w:bCs w:val="1"/>
          <w:color w:val="auto"/>
        </w:rPr>
        <w:t xml:space="preserve">. </w:t>
      </w:r>
      <w:r>
        <w:rPr>
          <w:rFonts w:ascii="Arial" w:cs="Arial" w:eastAsia="Arial" w:hAnsi="Arial"/>
          <w:sz w:val="16"/>
          <w:szCs w:val="16"/>
          <w:color w:val="auto"/>
        </w:rPr>
        <w:t>Before Participant accepts employment or enters into any consulting, independent contractor,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professional or business engagement with any other person or entity while any of the provisions of this Restrictive Covenants Addendum are in effect, Participant will provide such person or entity with written notice of the provisions of this Restrictive Covenants Addendum and will deliver a copy of that notice to the Company. While any of the restrictive covenant provisions of this Restrictive Covenants Addendum are in effect, Participant agrees that, upon the request of the Company, Participant will furnish the Company with the name and address of any new employer or entity for whom Participant provides contractor or consulting services, as well as the capacity in which Participant will be employed or otherwise engaged. Participant hereby consents to the Company’s notifying Participant’s new employer about Participant’s responsibilities, restrictions and obligations under this Restrictive Covenants Addendum.</w:t>
      </w:r>
    </w:p>
    <w:p>
      <w:pPr>
        <w:spacing w:after="0" w:line="74" w:lineRule="exact"/>
        <w:rPr>
          <w:rFonts w:ascii="Arial" w:cs="Arial" w:eastAsia="Arial" w:hAnsi="Arial"/>
          <w:sz w:val="16"/>
          <w:szCs w:val="16"/>
          <w:b w:val="1"/>
          <w:bCs w:val="1"/>
          <w:color w:val="auto"/>
        </w:rPr>
      </w:pPr>
    </w:p>
    <w:p>
      <w:pPr>
        <w:jc w:val="both"/>
        <w:ind w:left="760" w:hanging="752"/>
        <w:spacing w:after="0" w:line="251" w:lineRule="auto"/>
        <w:tabs>
          <w:tab w:leader="none" w:pos="76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State Law Exceptions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acknowledges and agrees that, in certain states the covenants contained in this Restrictive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Addendum may have limited or no applicability. The Company intends for this Restrictive Covenants Addendum to comply fully with state and local laws and, as such, acknowledges that this Restrictive Covenants Addendum is limited or not applicable in the following states. To the extent that there are additional limitations not acknowledged herein, the Company intends for this</w:t>
      </w:r>
    </w:p>
    <w:p>
      <w:pPr>
        <w:spacing w:after="0" w:line="2" w:lineRule="exact"/>
        <w:rPr>
          <w:rFonts w:ascii="Arial" w:cs="Arial" w:eastAsia="Arial" w:hAnsi="Arial"/>
          <w:sz w:val="16"/>
          <w:szCs w:val="16"/>
          <w:b w:val="1"/>
          <w:bCs w:val="1"/>
          <w:color w:val="auto"/>
        </w:rPr>
      </w:pPr>
    </w:p>
    <w:p>
      <w:pPr>
        <w:jc w:val="both"/>
        <w:ind w:left="760"/>
        <w:spacing w:after="0" w:line="256" w:lineRule="auto"/>
        <w:rPr>
          <w:rFonts w:ascii="Arial" w:cs="Arial" w:eastAsia="Arial" w:hAnsi="Arial"/>
          <w:sz w:val="16"/>
          <w:szCs w:val="16"/>
          <w:b w:val="1"/>
          <w:bCs w:val="1"/>
          <w:color w:val="auto"/>
        </w:rPr>
      </w:pPr>
      <w:r>
        <w:rPr>
          <w:rFonts w:ascii="Arial" w:cs="Arial" w:eastAsia="Arial" w:hAnsi="Arial"/>
          <w:sz w:val="16"/>
          <w:szCs w:val="16"/>
          <w:color w:val="auto"/>
        </w:rPr>
        <w:t>Restrictive Covenants Addendum to be read and applied in full compliance with applicable state laws. Further, to the extent any state not listed limits enforceability of a covenant if Participant’s annual compensation is insufficient for enforceable post-employment non-competition or non-solicitation restrictions, such limitation is incorporated by reference.</w:t>
      </w:r>
    </w:p>
    <w:p>
      <w:pPr>
        <w:spacing w:after="0" w:line="70" w:lineRule="exact"/>
        <w:rPr>
          <w:rFonts w:ascii="Arial" w:cs="Arial" w:eastAsia="Arial" w:hAnsi="Arial"/>
          <w:sz w:val="16"/>
          <w:szCs w:val="16"/>
          <w:b w:val="1"/>
          <w:bCs w:val="1"/>
          <w:color w:val="auto"/>
        </w:rPr>
      </w:pPr>
    </w:p>
    <w:p>
      <w:pPr>
        <w:jc w:val="both"/>
        <w:ind w:left="1500" w:hanging="743"/>
        <w:spacing w:after="0" w:line="266"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Arizona</w:t>
      </w:r>
      <w:r>
        <w:rPr>
          <w:rFonts w:ascii="Arial" w:cs="Arial" w:eastAsia="Arial" w:hAnsi="Arial"/>
          <w:sz w:val="16"/>
          <w:szCs w:val="16"/>
          <w:color w:val="auto"/>
        </w:rPr>
        <w:t>. If Participant’s primary work location is in Arizona as of the date Participant’s employment with the Company ceases, Sections 3 and 4 of this Restrictive Covenants Addendum will prohibit Participant from engaging in the conduct described only in the “Restricted Territory.”</w:t>
      </w:r>
    </w:p>
    <w:p>
      <w:pPr>
        <w:spacing w:after="0" w:line="63" w:lineRule="exact"/>
        <w:rPr>
          <w:rFonts w:ascii="Arial" w:cs="Arial" w:eastAsia="Arial" w:hAnsi="Arial"/>
          <w:sz w:val="16"/>
          <w:szCs w:val="16"/>
          <w:color w:val="auto"/>
        </w:rPr>
      </w:pPr>
    </w:p>
    <w:p>
      <w:pPr>
        <w:jc w:val="both"/>
        <w:ind w:left="1500" w:hanging="743"/>
        <w:spacing w:after="0" w:line="259"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California</w:t>
      </w:r>
      <w:r>
        <w:rPr>
          <w:rFonts w:ascii="Arial" w:cs="Arial" w:eastAsia="Arial" w:hAnsi="Arial"/>
          <w:sz w:val="16"/>
          <w:szCs w:val="16"/>
          <w:color w:val="auto"/>
        </w:rPr>
        <w:t>. If Participant’s primary work location is in California as of the date Participant’s employment with the Company ceases, Sections 2, 3, 4 and 6 of this Restrictive Covenants Addendum do not apply to Participant after Participant’s last day of employment. Further, Section 5 of this Restrictive Covenants Addendum shall provide for attorneys’ fees to the prevailing party as required under California Civil Code § 1717.</w:t>
      </w:r>
    </w:p>
    <w:p>
      <w:pPr>
        <w:spacing w:after="0" w:line="69" w:lineRule="exact"/>
        <w:rPr>
          <w:rFonts w:ascii="Arial" w:cs="Arial" w:eastAsia="Arial" w:hAnsi="Arial"/>
          <w:sz w:val="16"/>
          <w:szCs w:val="16"/>
          <w:color w:val="auto"/>
        </w:rPr>
      </w:pPr>
    </w:p>
    <w:p>
      <w:pPr>
        <w:jc w:val="both"/>
        <w:ind w:left="1500" w:hanging="743"/>
        <w:spacing w:after="0" w:line="266"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Connecticut</w:t>
      </w:r>
      <w:r>
        <w:rPr>
          <w:rFonts w:ascii="Arial" w:cs="Arial" w:eastAsia="Arial" w:hAnsi="Arial"/>
          <w:sz w:val="16"/>
          <w:szCs w:val="16"/>
          <w:color w:val="auto"/>
        </w:rPr>
        <w:t>. If Participant’s primary work location is in Connecticut, Section 1 of this Restrictive Covenants Addendum shall not be interpreted to preclude Participant from discussing at any time the compensation of any employee of the Company who has voluntarily disclosed that compensation information to Participant.</w:t>
      </w:r>
    </w:p>
    <w:p>
      <w:pPr>
        <w:spacing w:after="0" w:line="63" w:lineRule="exact"/>
        <w:rPr>
          <w:rFonts w:ascii="Arial" w:cs="Arial" w:eastAsia="Arial" w:hAnsi="Arial"/>
          <w:sz w:val="16"/>
          <w:szCs w:val="16"/>
          <w:color w:val="auto"/>
        </w:rPr>
      </w:pPr>
    </w:p>
    <w:p>
      <w:pPr>
        <w:ind w:left="1500" w:right="20" w:hanging="743"/>
        <w:spacing w:after="0" w:line="286"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Florida</w:t>
      </w:r>
      <w:r>
        <w:rPr>
          <w:rFonts w:ascii="Arial" w:cs="Arial" w:eastAsia="Arial" w:hAnsi="Arial"/>
          <w:sz w:val="16"/>
          <w:szCs w:val="16"/>
          <w:color w:val="auto"/>
        </w:rPr>
        <w:t>. If Participant’s primary work location is in Florida as of the date Participant’s employment with the Company ceases, then the phrase “and without necessity of posting bond” shall be struck from Section 5 of this Restrictive Covenants Addendum.</w:t>
      </w:r>
    </w:p>
    <w:p>
      <w:pPr>
        <w:spacing w:after="0" w:line="47" w:lineRule="exact"/>
        <w:rPr>
          <w:rFonts w:ascii="Arial" w:cs="Arial" w:eastAsia="Arial" w:hAnsi="Arial"/>
          <w:sz w:val="16"/>
          <w:szCs w:val="16"/>
          <w:color w:val="auto"/>
        </w:rPr>
      </w:pPr>
    </w:p>
    <w:p>
      <w:pPr>
        <w:jc w:val="both"/>
        <w:ind w:left="1500" w:hanging="743"/>
        <w:spacing w:after="0" w:line="266"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Hawaii</w:t>
      </w:r>
      <w:r>
        <w:rPr>
          <w:rFonts w:ascii="Arial" w:cs="Arial" w:eastAsia="Arial" w:hAnsi="Arial"/>
          <w:sz w:val="16"/>
          <w:szCs w:val="16"/>
          <w:color w:val="auto"/>
        </w:rPr>
        <w:t>. If Participant’s primary work location is in Hawaii as of the date Participant’s employment with the Company ceases, then after the last day of employment the restrictions in Section 2 of this Restrictive Covenants Addendum will apply geographically only to the specific island(s) within the State of Hawaii for which Participant had managerial and/or sales responsibility.</w:t>
      </w:r>
    </w:p>
    <w:p>
      <w:pPr>
        <w:spacing w:after="0" w:line="63" w:lineRule="exact"/>
        <w:rPr>
          <w:rFonts w:ascii="Arial" w:cs="Arial" w:eastAsia="Arial" w:hAnsi="Arial"/>
          <w:sz w:val="16"/>
          <w:szCs w:val="16"/>
          <w:color w:val="auto"/>
        </w:rPr>
      </w:pPr>
    </w:p>
    <w:p>
      <w:pPr>
        <w:jc w:val="both"/>
        <w:ind w:left="1500" w:hanging="743"/>
        <w:spacing w:after="0" w:line="256" w:lineRule="auto"/>
        <w:tabs>
          <w:tab w:leader="none" w:pos="150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Idaho</w:t>
      </w:r>
      <w:r>
        <w:rPr>
          <w:rFonts w:ascii="Arial" w:cs="Arial" w:eastAsia="Arial" w:hAnsi="Arial"/>
          <w:sz w:val="16"/>
          <w:szCs w:val="16"/>
          <w:color w:val="auto"/>
        </w:rPr>
        <w:t>. If Participant’s primary work location is in Idaho as of the date Participant’s employment with the Company ceases, then after the last day of employment the restrictions in Sections 2, 3, and 4 of this Restrictive Covenants Addendum shall apply only if Participant is a “key employee.” As used herein, the phrase “key employee” means an employee who, by reason of the employer’s investment of time, money, trust, exposure to the public, or exposure to technologies, intellectual property, business plans, business processes and methods of operation, customers, vendors or other business relationships during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90" w:lineRule="exact"/>
        <w:rPr>
          <w:sz w:val="20"/>
          <w:szCs w:val="20"/>
          <w:color w:val="auto"/>
        </w:rPr>
      </w:pPr>
    </w:p>
    <w:p>
      <w:pPr>
        <w:jc w:val="both"/>
        <w:ind w:left="743"/>
        <w:spacing w:after="0" w:line="266" w:lineRule="auto"/>
        <w:rPr>
          <w:sz w:val="20"/>
          <w:szCs w:val="20"/>
          <w:color w:val="auto"/>
        </w:rPr>
      </w:pPr>
      <w:r>
        <w:rPr>
          <w:rFonts w:ascii="Arial" w:cs="Arial" w:eastAsia="Arial" w:hAnsi="Arial"/>
          <w:sz w:val="16"/>
          <w:szCs w:val="16"/>
          <w:color w:val="auto"/>
        </w:rPr>
        <w:t>course of employment, has gained a high level of inside knowledge, influence, credibility, notoriety, fame, reputation or public persona as a representative or spokesperson of the employer and, as a result, has the ability to harm or threaten an employer’s legitimate business interests.</w:t>
      </w:r>
    </w:p>
    <w:p>
      <w:pPr>
        <w:spacing w:after="0" w:line="63" w:lineRule="exact"/>
        <w:rPr>
          <w:sz w:val="20"/>
          <w:szCs w:val="20"/>
          <w:color w:val="auto"/>
        </w:rPr>
      </w:pPr>
    </w:p>
    <w:p>
      <w:pPr>
        <w:jc w:val="both"/>
        <w:ind w:left="743" w:hanging="743"/>
        <w:spacing w:after="0" w:line="250" w:lineRule="auto"/>
        <w:tabs>
          <w:tab w:leader="none" w:pos="74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Nebraska</w:t>
      </w:r>
      <w:r>
        <w:rPr>
          <w:rFonts w:ascii="Arial" w:cs="Arial" w:eastAsia="Arial" w:hAnsi="Arial"/>
          <w:sz w:val="16"/>
          <w:szCs w:val="16"/>
          <w:color w:val="auto"/>
        </w:rPr>
        <w:t>. If Participant’s primary work location is in Nebraska as of the date Participant’s employment with the Company ceases, then after the last day of employment the restrictions in Section 2 of this Restrictive Covenants Addendum will not apply. After Participant’s employment with the Company ceases, the restrictions of Section 3 of this Restrictive Covenants Addendum will only apply to the Company’s current Customers, and not to Prospective Customers. Also after Participant’s employment with the Company ceases, (1) the definition of “Customer” in Section 7(f) of this Restrictive Covenants Addendum shall only apply to any business or entity that is a current customer of the Company; (2) the definition of “Material Contact” in Section 7(h) of this Restrictive Covenants Addendum shall mean doing business and having personal contact with Customers during Participant’s employment with the Company; and (3) the definition of “Restricted Employee” in Section 4 of this Restrictive Covenants Addendum shall mean any employee of the Company whom Participant had material business-related contact during Participant’s employment with the Company, and who is actually employed by the Company at the time of the conduct prohibited by Section 4 of this Restrictive Covenants Addendum, or who were employed by the Company within three (3) months prior to the contact prohibited by Section 4 of this Restrictive Covenants Addendum.</w:t>
      </w:r>
    </w:p>
    <w:p>
      <w:pPr>
        <w:spacing w:after="0" w:line="78" w:lineRule="exact"/>
        <w:rPr>
          <w:rFonts w:ascii="Arial" w:cs="Arial" w:eastAsia="Arial" w:hAnsi="Arial"/>
          <w:sz w:val="16"/>
          <w:szCs w:val="16"/>
          <w:color w:val="auto"/>
        </w:rPr>
      </w:pPr>
    </w:p>
    <w:p>
      <w:pPr>
        <w:jc w:val="both"/>
        <w:ind w:left="743" w:hanging="743"/>
        <w:spacing w:after="0" w:line="266" w:lineRule="auto"/>
        <w:tabs>
          <w:tab w:leader="none" w:pos="74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Tennessee</w:t>
      </w:r>
      <w:r>
        <w:rPr>
          <w:rFonts w:ascii="Arial" w:cs="Arial" w:eastAsia="Arial" w:hAnsi="Arial"/>
          <w:sz w:val="16"/>
          <w:szCs w:val="16"/>
          <w:color w:val="auto"/>
        </w:rPr>
        <w:t>. If Participant’s primary work location is in Tennessee as of the date Participant’s employment with the Company ceases, Sections 3 and 4 of this Restrictive Covenants Addendum will prohibit Participant from engaging in the conduct described only in the “Restricted Territory.”</w:t>
      </w:r>
    </w:p>
    <w:p>
      <w:pPr>
        <w:spacing w:after="0" w:line="63" w:lineRule="exact"/>
        <w:rPr>
          <w:rFonts w:ascii="Arial" w:cs="Arial" w:eastAsia="Arial" w:hAnsi="Arial"/>
          <w:sz w:val="16"/>
          <w:szCs w:val="16"/>
          <w:color w:val="auto"/>
        </w:rPr>
      </w:pPr>
    </w:p>
    <w:p>
      <w:pPr>
        <w:jc w:val="both"/>
        <w:ind w:left="743" w:hanging="743"/>
        <w:spacing w:after="0" w:line="254" w:lineRule="auto"/>
        <w:tabs>
          <w:tab w:leader="none" w:pos="74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Virginia</w:t>
      </w:r>
      <w:r>
        <w:rPr>
          <w:rFonts w:ascii="Arial" w:cs="Arial" w:eastAsia="Arial" w:hAnsi="Arial"/>
          <w:sz w:val="16"/>
          <w:szCs w:val="16"/>
          <w:color w:val="auto"/>
        </w:rPr>
        <w:t>. If Participant’s primary work location is in Virginia, then: (i) at any time that Participant is a “low-wage employee” within the meaning of Virginia Code § 40.1-28.7:8, Section 2 of this Restrictive Covenants Addendum does not apply and Section 3 of this Restrictive Covenants Addendum is modified by deleting the phrase “or otherwise accept business from”; and (ii) as of the date Participant’s employment with the Company ceases, “Compete” as defined in Section 7(c), shall mean: providing the same or similar services or expertise Participant provided to the Company at any time during the twelve (12) months prior to cessation of employment.APPENDIX 1</w:t>
      </w:r>
    </w:p>
    <w:p>
      <w:pPr>
        <w:spacing w:after="0" w:line="210" w:lineRule="exact"/>
        <w:rPr>
          <w:sz w:val="20"/>
          <w:szCs w:val="20"/>
          <w:color w:val="auto"/>
        </w:rPr>
      </w:pPr>
    </w:p>
    <w:p>
      <w:pPr>
        <w:ind w:left="4743"/>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55" w:name="page56"/>
    <w:bookmarkEnd w:id="55"/>
    <w:p>
      <w:pPr>
        <w:ind w:left="8520"/>
        <w:spacing w:after="0"/>
        <w:rPr>
          <w:sz w:val="20"/>
          <w:szCs w:val="20"/>
          <w:color w:val="auto"/>
        </w:rPr>
      </w:pPr>
      <w:r>
        <w:rPr>
          <w:rFonts w:ascii="Arial" w:cs="Arial" w:eastAsia="Arial" w:hAnsi="Arial"/>
          <w:sz w:val="16"/>
          <w:szCs w:val="16"/>
          <w:b w:val="1"/>
          <w:bCs w:val="1"/>
          <w:color w:val="auto"/>
        </w:rPr>
        <w:t>Exhibit 31.1</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 Dushyant Sharma, certify that:</w:t>
      </w:r>
    </w:p>
    <w:p>
      <w:pPr>
        <w:spacing w:after="0" w:line="221"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6"/>
          <w:szCs w:val="16"/>
          <w:color w:val="auto"/>
        </w:rPr>
      </w:pPr>
    </w:p>
    <w:p>
      <w:pPr>
        <w:ind w:left="1060" w:right="180" w:hanging="678"/>
        <w:spacing w:after="0" w:line="266" w:lineRule="auto"/>
        <w:tabs>
          <w:tab w:leader="none" w:pos="7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6"/>
          <w:szCs w:val="16"/>
          <w:color w:val="auto"/>
        </w:rPr>
      </w:pPr>
    </w:p>
    <w:p>
      <w:pPr>
        <w:ind w:left="1060" w:right="400" w:hanging="678"/>
        <w:spacing w:after="0" w:line="266" w:lineRule="auto"/>
        <w:tabs>
          <w:tab w:leader="none" w:pos="7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060" w:right="420" w:hanging="678"/>
        <w:spacing w:after="0" w:line="286" w:lineRule="auto"/>
        <w:tabs>
          <w:tab w:leader="none" w:pos="7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1060" w:hanging="678"/>
        <w:spacing w:after="0" w:line="266" w:lineRule="auto"/>
        <w:tabs>
          <w:tab w:leader="none" w:pos="7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6"/>
          <w:szCs w:val="16"/>
          <w:color w:val="auto"/>
        </w:rPr>
      </w:pPr>
    </w:p>
    <w:p>
      <w:pPr>
        <w:ind w:left="380" w:right="440" w:hanging="372"/>
        <w:spacing w:after="0" w:line="286"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060" w:right="360" w:hanging="678"/>
        <w:spacing w:after="0" w:line="286" w:lineRule="auto"/>
        <w:tabs>
          <w:tab w:leader="none" w:pos="7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6"/>
          <w:szCs w:val="16"/>
          <w:color w:val="auto"/>
        </w:rPr>
      </w:pPr>
    </w:p>
    <w:p>
      <w:pPr>
        <w:ind w:left="1060" w:right="300" w:hanging="678"/>
        <w:spacing w:after="0" w:line="286" w:lineRule="auto"/>
        <w:tabs>
          <w:tab w:leader="none" w:pos="746"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spacing w:after="0"/>
        <w:tabs>
          <w:tab w:leader="none" w:pos="5640" w:val="left"/>
          <w:tab w:leader="none" w:pos="7820" w:val="left"/>
        </w:tabs>
        <w:rPr>
          <w:sz w:val="20"/>
          <w:szCs w:val="20"/>
          <w:color w:val="auto"/>
        </w:rPr>
      </w:pPr>
      <w:r>
        <w:rPr>
          <w:rFonts w:ascii="Arial" w:cs="Arial" w:eastAsia="Arial" w:hAnsi="Arial"/>
          <w:sz w:val="16"/>
          <w:szCs w:val="16"/>
          <w:color w:val="auto"/>
        </w:rPr>
        <w:t>Date: May 7,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Dushyant Sharma</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1412240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6" w:name="page57"/>
    <w:bookmarkEnd w:id="56"/>
    <w:p>
      <w:pPr>
        <w:ind w:left="10300"/>
        <w:spacing w:after="0"/>
        <w:rPr>
          <w:sz w:val="20"/>
          <w:szCs w:val="20"/>
          <w:color w:val="auto"/>
        </w:rPr>
      </w:pPr>
      <w:r>
        <w:rPr>
          <w:rFonts w:ascii="Arial" w:cs="Arial" w:eastAsia="Arial" w:hAnsi="Arial"/>
          <w:sz w:val="16"/>
          <w:szCs w:val="16"/>
          <w:b w:val="1"/>
          <w:bCs w:val="1"/>
          <w:color w:val="auto"/>
        </w:rPr>
        <w:t>Exhibit 31.2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I, Sanjay Kalra, certify that:</w:t>
      </w:r>
    </w:p>
    <w:p>
      <w:pPr>
        <w:spacing w:after="0" w:line="221"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1"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6"/>
          <w:szCs w:val="16"/>
          <w:color w:val="auto"/>
        </w:rPr>
      </w:pPr>
    </w:p>
    <w:p>
      <w:pPr>
        <w:ind w:left="380" w:right="520" w:hanging="372"/>
        <w:spacing w:after="0" w:line="286"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6"/>
          <w:szCs w:val="16"/>
          <w:color w:val="auto"/>
        </w:rPr>
      </w:pPr>
    </w:p>
    <w:p>
      <w:pPr>
        <w:ind w:left="1060" w:right="180" w:hanging="678"/>
        <w:spacing w:after="0" w:line="266" w:lineRule="auto"/>
        <w:tabs>
          <w:tab w:leader="none" w:pos="746"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6"/>
          <w:szCs w:val="16"/>
          <w:color w:val="auto"/>
        </w:rPr>
      </w:pPr>
    </w:p>
    <w:p>
      <w:pPr>
        <w:ind w:left="1060" w:right="400" w:hanging="678"/>
        <w:spacing w:after="0" w:line="266" w:lineRule="auto"/>
        <w:tabs>
          <w:tab w:leader="none" w:pos="746"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060" w:right="420" w:hanging="678"/>
        <w:spacing w:after="0" w:line="286" w:lineRule="auto"/>
        <w:tabs>
          <w:tab w:leader="none" w:pos="746"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1060" w:hanging="678"/>
        <w:spacing w:after="0" w:line="266" w:lineRule="auto"/>
        <w:tabs>
          <w:tab w:leader="none" w:pos="746"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6"/>
          <w:szCs w:val="16"/>
          <w:color w:val="auto"/>
        </w:rPr>
      </w:pPr>
    </w:p>
    <w:p>
      <w:pPr>
        <w:ind w:left="380" w:right="440" w:hanging="372"/>
        <w:spacing w:after="0" w:line="286"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060" w:right="360" w:hanging="678"/>
        <w:spacing w:after="0" w:line="286" w:lineRule="auto"/>
        <w:tabs>
          <w:tab w:leader="none" w:pos="746"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6"/>
          <w:szCs w:val="16"/>
          <w:color w:val="auto"/>
        </w:rPr>
      </w:pPr>
    </w:p>
    <w:p>
      <w:pPr>
        <w:ind w:left="1060" w:right="300" w:hanging="678"/>
        <w:spacing w:after="0" w:line="286" w:lineRule="auto"/>
        <w:tabs>
          <w:tab w:leader="none" w:pos="746"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spacing w:after="0"/>
        <w:tabs>
          <w:tab w:leader="none" w:pos="5640" w:val="left"/>
          <w:tab w:leader="none" w:pos="8040" w:val="left"/>
        </w:tabs>
        <w:rPr>
          <w:sz w:val="20"/>
          <w:szCs w:val="20"/>
          <w:color w:val="auto"/>
        </w:rPr>
      </w:pPr>
      <w:r>
        <w:rPr>
          <w:rFonts w:ascii="Arial" w:cs="Arial" w:eastAsia="Arial" w:hAnsi="Arial"/>
          <w:sz w:val="16"/>
          <w:szCs w:val="16"/>
          <w:color w:val="auto"/>
        </w:rPr>
        <w:t>Date: May 7,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Sanjay Kalra</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5"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1292225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20" w:firstLine="578"/>
        <w:spacing w:after="0" w:line="266" w:lineRule="auto"/>
        <w:rPr>
          <w:sz w:val="20"/>
          <w:szCs w:val="20"/>
          <w:color w:val="auto"/>
        </w:rPr>
      </w:pPr>
      <w:r>
        <w:rPr>
          <w:rFonts w:ascii="Arial" w:cs="Arial" w:eastAsia="Arial" w:hAnsi="Arial"/>
          <w:sz w:val="16"/>
          <w:szCs w:val="16"/>
          <w:color w:val="auto"/>
        </w:rPr>
        <w:t>In connection with the Quarterly Report on Form 10-Q of Paymentus Holdings, Inc. (the “Company”) for the three months period ended March 31, 2025 as filed with the Securities and Exchange Commission on the date hereof (the “Report”), I certify, pursuant to 18 U.S.C. § 1350, as adopted pursuant to § 906 of the Sarbanes-Oxley Act of 2002, that, to the best of my knowledge and belief:</w:t>
      </w:r>
    </w:p>
    <w:p>
      <w:pPr>
        <w:spacing w:after="0" w:line="171" w:lineRule="exact"/>
        <w:rPr>
          <w:sz w:val="20"/>
          <w:szCs w:val="20"/>
          <w:color w:val="auto"/>
        </w:rPr>
      </w:pPr>
    </w:p>
    <w:p>
      <w:pPr>
        <w:ind w:left="1000" w:hanging="992"/>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900" w:right="820" w:hanging="892"/>
        <w:spacing w:after="0" w:line="28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as of and for the periods presented in the Report.</w:t>
      </w:r>
    </w:p>
    <w:p>
      <w:pPr>
        <w:spacing w:after="0" w:line="200" w:lineRule="exact"/>
        <w:rPr>
          <w:sz w:val="20"/>
          <w:szCs w:val="20"/>
          <w:color w:val="auto"/>
        </w:rPr>
      </w:pPr>
    </w:p>
    <w:p>
      <w:pPr>
        <w:spacing w:after="0" w:line="361" w:lineRule="exact"/>
        <w:rPr>
          <w:sz w:val="20"/>
          <w:szCs w:val="20"/>
          <w:color w:val="auto"/>
        </w:rPr>
      </w:pPr>
    </w:p>
    <w:p>
      <w:pPr>
        <w:spacing w:after="0"/>
        <w:tabs>
          <w:tab w:leader="none" w:pos="5640" w:val="left"/>
          <w:tab w:leader="none" w:pos="7840" w:val="left"/>
        </w:tabs>
        <w:rPr>
          <w:sz w:val="20"/>
          <w:szCs w:val="20"/>
          <w:color w:val="auto"/>
        </w:rPr>
      </w:pPr>
      <w:r>
        <w:rPr>
          <w:rFonts w:ascii="Arial" w:cs="Arial" w:eastAsia="Arial" w:hAnsi="Arial"/>
          <w:sz w:val="16"/>
          <w:szCs w:val="16"/>
          <w:color w:val="auto"/>
        </w:rPr>
        <w:t>Date: May 7,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Dushyant Sharma</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Chairman, President and,</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20" w:firstLine="578"/>
        <w:spacing w:after="0" w:line="266" w:lineRule="auto"/>
        <w:rPr>
          <w:sz w:val="20"/>
          <w:szCs w:val="20"/>
          <w:color w:val="auto"/>
        </w:rPr>
      </w:pPr>
      <w:r>
        <w:rPr>
          <w:rFonts w:ascii="Arial" w:cs="Arial" w:eastAsia="Arial" w:hAnsi="Arial"/>
          <w:sz w:val="16"/>
          <w:szCs w:val="16"/>
          <w:color w:val="auto"/>
        </w:rPr>
        <w:t>In connection with the Quarterly Report on Form 10-Q of Paymentus Holdings, Inc. (the “Company”) for the three months period ended March 31, 2025 as filed with the Securities and Exchange Commission on the date hereof (the “Report”), I certify, pursuant to 18 U.S.C. § 1350, as adopted pursuant to § 906 of the Sarbanes-Oxley Act of 2002, that, to the best of my knowledge and belief:</w:t>
      </w:r>
    </w:p>
    <w:p>
      <w:pPr>
        <w:spacing w:after="0" w:line="171" w:lineRule="exact"/>
        <w:rPr>
          <w:sz w:val="20"/>
          <w:szCs w:val="20"/>
          <w:color w:val="auto"/>
        </w:rPr>
      </w:pPr>
    </w:p>
    <w:p>
      <w:pPr>
        <w:ind w:left="1000" w:hanging="992"/>
        <w:spacing w:after="0"/>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1020" w:right="700" w:hanging="1012"/>
        <w:spacing w:after="0" w:line="286"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as of and for the periods presented in the Report.</w:t>
      </w:r>
    </w:p>
    <w:p>
      <w:pPr>
        <w:spacing w:after="0" w:line="129" w:lineRule="exact"/>
        <w:rPr>
          <w:sz w:val="20"/>
          <w:szCs w:val="20"/>
          <w:color w:val="auto"/>
        </w:rPr>
      </w:pPr>
    </w:p>
    <w:p>
      <w:pPr>
        <w:spacing w:after="0"/>
        <w:tabs>
          <w:tab w:leader="none" w:pos="5640" w:val="left"/>
          <w:tab w:leader="none" w:pos="8040" w:val="left"/>
        </w:tabs>
        <w:rPr>
          <w:sz w:val="20"/>
          <w:szCs w:val="20"/>
          <w:color w:val="auto"/>
        </w:rPr>
      </w:pPr>
      <w:r>
        <w:rPr>
          <w:rFonts w:ascii="Arial" w:cs="Arial" w:eastAsia="Arial" w:hAnsi="Arial"/>
          <w:sz w:val="16"/>
          <w:szCs w:val="16"/>
          <w:color w:val="auto"/>
        </w:rPr>
        <w:t>Date: May 7,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12065</wp:posOffset>
            </wp:positionV>
            <wp:extent cx="331724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Sanjay Kalra</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5"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6"/>
    </w:lvl>
  </w:abstractNum>
  <w:abstractNum w:abstractNumId="8">
    <w:nsid w:val="836C40E"/>
    <w:multiLevelType w:val="hybridMultilevel"/>
    <w:lvl w:ilvl="0">
      <w:lvlJc w:val="left"/>
      <w:lvlText w:val="%1."/>
      <w:numFmt w:val="decimal"/>
      <w:start w:val="8"/>
    </w:lvl>
  </w:abstractNum>
  <w:abstractNum w:abstractNumId="9">
    <w:nsid w:val="2901D82"/>
    <w:multiLevelType w:val="hybridMultilevel"/>
    <w:lvl w:ilvl="0">
      <w:lvlJc w:val="left"/>
      <w:lvlText w:val="%1."/>
      <w:numFmt w:val="decimal"/>
      <w:start w:val="9"/>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13">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
    <w:nsid w:val="737B8DDC"/>
    <w:multiLevelType w:val="hybridMultilevel"/>
    <w:lvl w:ilvl="0">
      <w:lvlJc w:val="left"/>
      <w:lvlText w:val="%1."/>
      <w:numFmt w:val="decimal"/>
      <w:start w:val="6"/>
    </w:lvl>
    <w:lvl w:ilvl="1">
      <w:lvlJc w:val="left"/>
      <w:lvlText w:val="(%2)"/>
      <w:numFmt w:val="lowerLetter"/>
      <w:start w:val="1"/>
    </w:lvl>
  </w:abstractNum>
  <w:abstractNum w:abstractNumId="15">
    <w:nsid w:val="6CEAF087"/>
    <w:multiLevelType w:val="hybridMultilevel"/>
    <w:lvl w:ilvl="0">
      <w:lvlJc w:val="left"/>
      <w:lvlText w:val="(%1)"/>
      <w:numFmt w:val="lowerLetter"/>
      <w:start w:val="4"/>
    </w:lvl>
  </w:abstractNum>
  <w:abstractNum w:abstractNumId="16">
    <w:nsid w:val="22221A7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7">
    <w:nsid w:val="4516DDE9"/>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8">
    <w:nsid w:val="3006C83E"/>
    <w:multiLevelType w:val="hybridMultilevel"/>
    <w:lvl w:ilvl="0">
      <w:lvlJc w:val="left"/>
      <w:lvlText w:val="%1."/>
      <w:numFmt w:val="decimal"/>
      <w:start w:val="15"/>
    </w:lvl>
  </w:abstractNum>
  <w:abstractNum w:abstractNumId="19">
    <w:nsid w:val="614FD4A1"/>
    <w:multiLevelType w:val="hybridMultilevel"/>
    <w:lvl w:ilvl="0">
      <w:lvlJc w:val="left"/>
      <w:lvlText w:val="%1."/>
      <w:numFmt w:val="decimal"/>
      <w:start w:val="19"/>
    </w:lvl>
  </w:abstractNum>
  <w:abstractNum w:abstractNumId="20">
    <w:nsid w:val="419AC241"/>
    <w:multiLevelType w:val="hybridMultilevel"/>
    <w:lvl w:ilvl="0">
      <w:lvlJc w:val="left"/>
      <w:lvlText w:val="%1."/>
      <w:numFmt w:val="decimal"/>
      <w:start w:val="23"/>
    </w:lvl>
    <w:lvl w:ilvl="1">
      <w:lvlJc w:val="left"/>
      <w:lvlText w:val="*"/>
      <w:numFmt w:val="bullet"/>
      <w:start w:val="1"/>
    </w:lvl>
  </w:abstractNum>
  <w:abstractNum w:abstractNumId="21">
    <w:nsid w:val="5577F8E1"/>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2">
    <w:nsid w:val="440BADFC"/>
    <w:multiLevelType w:val="hybridMultilevel"/>
    <w:lvl w:ilvl="0">
      <w:lvlJc w:val="left"/>
      <w:lvlText w:val="%1."/>
      <w:numFmt w:val="decimal"/>
      <w:start w:val="4"/>
    </w:lvl>
    <w:lvl w:ilvl="1">
      <w:lvlJc w:val="left"/>
      <w:lvlText w:val="(%2)"/>
      <w:numFmt w:val="lowerLetter"/>
      <w:start w:val="2"/>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lowerLetter"/>
      <w:start w:val="3"/>
    </w:lvl>
    <w:lvl w:ilvl="1">
      <w:lvlJc w:val="left"/>
      <w:lvlText w:val="(%2)"/>
      <w:numFmt w:val="decimal"/>
      <w:start w:val="12"/>
    </w:lvl>
  </w:abstractNum>
  <w:abstractNum w:abstractNumId="25">
    <w:nsid w:val="77465F01"/>
    <w:multiLevelType w:val="hybridMultilevel"/>
    <w:lvl w:ilvl="0">
      <w:lvlJc w:val="left"/>
      <w:lvlText w:val="%1"/>
      <w:numFmt w:val="decimal"/>
      <w:start w:val="1"/>
    </w:lvl>
    <w:lvl w:ilvl="1">
      <w:lvlJc w:val="left"/>
      <w:lvlText w:val="%2."/>
      <w:numFmt w:val="lowerLetter"/>
      <w:start w:val="10"/>
    </w:lvl>
  </w:abstractNum>
  <w:abstractNum w:abstractNumId="26">
    <w:nsid w:val="7724C67E"/>
    <w:multiLevelType w:val="hybridMultilevel"/>
    <w:lvl w:ilvl="0">
      <w:lvlJc w:val="left"/>
      <w:lvlText w:val="%1."/>
      <w:numFmt w:val="decimal"/>
      <w:start w:val="8"/>
    </w:lvl>
    <w:lvl w:ilvl="1">
      <w:lvlJc w:val="left"/>
      <w:lvlText w:val="%2."/>
      <w:numFmt w:val="lowerLetter"/>
      <w:start w:val="1"/>
    </w:lvl>
  </w:abstractNum>
  <w:abstractNum w:abstractNumId="27">
    <w:nsid w:val="5C482A97"/>
    <w:multiLevelType w:val="hybridMultilevel"/>
    <w:lvl w:ilvl="0">
      <w:lvlJc w:val="left"/>
      <w:lvlText w:val="%1."/>
      <w:numFmt w:val="lowerLetter"/>
      <w:start w:val="7"/>
    </w:lvl>
  </w:abstractNum>
  <w:abstractNum w:abstractNumId="28">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
    <w:nsid w:val="5E884ADC"/>
    <w:multiLevelType w:val="hybridMultilevel"/>
    <w:lvl w:ilvl="0">
      <w:lvlJc w:val="left"/>
      <w:lvlText w:val="%1."/>
      <w:numFmt w:val="decimal"/>
      <w:start w:val="5"/>
    </w:lvl>
    <w:lvl w:ilvl="1">
      <w:lvlJc w:val="left"/>
      <w:lvlText w:val="(%2)"/>
      <w:numFmt w:val="lowerLetter"/>
      <w:start w:val="1"/>
    </w:lvl>
  </w:abstractNum>
  <w:abstractNum w:abstractNumId="30">
    <w:nsid w:val="51EAD36B"/>
    <w:multiLevelType w:val="hybridMultilevel"/>
    <w:lvl w:ilvl="0">
      <w:lvlJc w:val="left"/>
      <w:lvlText w:val="%1"/>
      <w:numFmt w:val="decimal"/>
      <w:start w:val="1"/>
    </w:lvl>
    <w:lvl w:ilvl="1">
      <w:lvlJc w:val="left"/>
      <w:lvlText w:val="(%2)"/>
      <w:numFmt w:val="lowerLetter"/>
      <w:start w:val="3"/>
    </w:lvl>
  </w:abstractNum>
  <w:abstractNum w:abstractNumId="31">
    <w:nsid w:val="2D517796"/>
    <w:multiLevelType w:val="hybridMultilevel"/>
    <w:lvl w:ilvl="0">
      <w:lvlJc w:val="left"/>
      <w:lvlText w:val="%1."/>
      <w:numFmt w:val="decimal"/>
      <w:start w:val="7"/>
    </w:lvl>
    <w:lvl w:ilvl="1">
      <w:lvlJc w:val="left"/>
      <w:lvlText w:val="(%2)"/>
      <w:numFmt w:val="lowerLetter"/>
      <w:start w:val="1"/>
    </w:lvl>
  </w:abstractNum>
  <w:abstractNum w:abstractNumId="32">
    <w:nsid w:val="580BD78F"/>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3">
    <w:nsid w:val="153EA438"/>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4">
    <w:nsid w:val="3855585C"/>
    <w:multiLevelType w:val="hybridMultilevel"/>
    <w:lvl w:ilvl="0">
      <w:lvlJc w:val="left"/>
      <w:lvlText w:val="%1."/>
      <w:numFmt w:val="decimal"/>
      <w:start w:val="14"/>
    </w:lvl>
  </w:abstractNum>
  <w:abstractNum w:abstractNumId="35">
    <w:nsid w:val="70A64E2A"/>
    <w:multiLevelType w:val="hybridMultilevel"/>
    <w:lvl w:ilvl="0">
      <w:lvlJc w:val="left"/>
      <w:lvlText w:val="%1."/>
      <w:numFmt w:val="decimal"/>
      <w:start w:val="18"/>
    </w:lvl>
  </w:abstractNum>
  <w:abstractNum w:abstractNumId="36">
    <w:nsid w:val="6A2342EC"/>
    <w:multiLevelType w:val="hybridMultilevel"/>
    <w:lvl w:ilvl="0">
      <w:lvlJc w:val="left"/>
      <w:lvlText w:val="%1"/>
      <w:numFmt w:val="lowerRoman"/>
      <w:start w:val="1"/>
    </w:lvl>
    <w:lvl w:ilvl="1">
      <w:lvlJc w:val="left"/>
      <w:lvlText w:val="%2."/>
      <w:numFmt w:val="decimal"/>
      <w:start w:val="22"/>
    </w:lvl>
    <w:lvl w:ilvl="2">
      <w:lvlJc w:val="left"/>
      <w:lvlText w:val="*"/>
      <w:numFmt w:val="bullet"/>
      <w:start w:val="1"/>
    </w:lvl>
  </w:abstractNum>
  <w:abstractNum w:abstractNumId="37">
    <w:nsid w:val="2A487CB0"/>
    <w:multiLevelType w:val="hybridMultilevel"/>
    <w:lvl w:ilvl="0">
      <w:lvlJc w:val="left"/>
      <w:lvlText w:val="(%1)"/>
      <w:numFmt w:val="lowerRoman"/>
      <w:start w:val="1"/>
    </w:lvl>
    <w:lvl w:ilvl="1">
      <w:lvlJc w:val="left"/>
      <w:lvlText w:val="%2."/>
      <w:numFmt w:val="decimal"/>
      <w:start w:val="26"/>
    </w:lvl>
    <w:lvl w:ilvl="2">
      <w:lvlJc w:val="left"/>
      <w:lvlText w:val="*"/>
      <w:numFmt w:val="bullet"/>
      <w:start w:val="1"/>
    </w:lvl>
  </w:abstractNum>
  <w:abstractNum w:abstractNumId="38">
    <w:nsid w:val="1D4ED43B"/>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39">
    <w:nsid w:val="725A06FB"/>
    <w:multiLevelType w:val="hybridMultilevel"/>
    <w:lvl w:ilvl="0">
      <w:lvlJc w:val="left"/>
      <w:lvlText w:val="%1."/>
      <w:numFmt w:val="decimal"/>
      <w:start w:val="4"/>
    </w:lvl>
    <w:lvl w:ilvl="1">
      <w:lvlJc w:val="left"/>
      <w:lvlText w:val="%2."/>
      <w:numFmt w:val="lowerLetter"/>
      <w:start w:val="1"/>
    </w:lvl>
  </w:abstractNum>
  <w:abstractNum w:abstractNumId="40">
    <w:nsid w:val="2CD89A32"/>
    <w:multiLevelType w:val="hybridMultilevel"/>
    <w:lvl w:ilvl="0">
      <w:lvlJc w:val="left"/>
      <w:lvlText w:val="%1."/>
      <w:numFmt w:val="lowerLetter"/>
      <w:start w:val="3"/>
    </w:lvl>
    <w:lvl w:ilvl="1">
      <w:lvlJc w:val="left"/>
      <w:lvlText w:val="(%2)"/>
      <w:numFmt w:val="lowerRoman"/>
      <w:start w:val="2"/>
    </w:lvl>
  </w:abstractNum>
  <w:abstractNum w:abstractNumId="41">
    <w:nsid w:val="57E4CCAF"/>
    <w:multiLevelType w:val="hybridMultilevel"/>
    <w:lvl w:ilvl="0">
      <w:lvlJc w:val="left"/>
      <w:lvlText w:val="%1"/>
      <w:numFmt w:val="decimal"/>
      <w:start w:val="1"/>
    </w:lvl>
    <w:lvl w:ilvl="1">
      <w:lvlJc w:val="left"/>
      <w:lvlText w:val="%2."/>
      <w:numFmt w:val="lowerLetter"/>
      <w:start w:val="10"/>
    </w:lvl>
  </w:abstractNum>
  <w:abstractNum w:abstractNumId="42">
    <w:nsid w:val="7A6D8D3C"/>
    <w:multiLevelType w:val="hybridMultilevel"/>
    <w:lvl w:ilvl="0">
      <w:lvlJc w:val="left"/>
      <w:lvlText w:val="%1."/>
      <w:numFmt w:val="decimal"/>
      <w:start w:val="8"/>
    </w:lvl>
    <w:lvl w:ilvl="1">
      <w:lvlJc w:val="left"/>
      <w:lvlText w:val="%2."/>
      <w:numFmt w:val="lowerLetter"/>
      <w:start w:val="1"/>
    </w:lvl>
  </w:abstractNum>
  <w:abstractNum w:abstractNumId="43">
    <w:nsid w:val="4B588F54"/>
    <w:multiLevelType w:val="hybridMultilevel"/>
    <w:lvl w:ilvl="0">
      <w:lvlJc w:val="left"/>
      <w:lvlText w:val="%1."/>
      <w:numFmt w:val="lowerLetter"/>
      <w:start w:val="7"/>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02" Type="http://schemas.openxmlformats.org/officeDocument/2006/relationships/hyperlink" Target="https://www.sec.gov/Archives/edgar/data/1841156/000156459021030840/ck7045120534-ex31_9.htm" TargetMode="External"/><Relationship Id="rId203" Type="http://schemas.openxmlformats.org/officeDocument/2006/relationships/hyperlink" Target="https://www.sec.gov/Archives/edgar/data/1841156/000095017023039173/pay-ex3_1.htm" TargetMode="External"/><Relationship Id="rId204" Type="http://schemas.openxmlformats.org/officeDocument/2006/relationships/hyperlink" Target="https://www.sec.gov/Archives/edgar/data/1841156/000095017022025091/pay-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2025-05-07T06:17:02Z</dcterms:created>
  <dcterms:modified xsi:type="dcterms:W3CDTF">2025-05-07T06:17:02Z</dcterms:modified>
</cp:coreProperties>
</file>