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Sharma Dushyant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36" w:lineRule="auto"/>
        <w:rPr>
          <w:sz w:val="20"/>
          <w:szCs w:val="20"/>
          <w:color w:val="auto"/>
        </w:rPr>
      </w:pPr>
      <w:r>
        <w:rPr>
          <w:rFonts w:ascii="Times New Roman" w:cs="Times New Roman" w:eastAsia="Times New Roman" w:hAnsi="Times New Roman"/>
          <w:sz w:val="17"/>
          <w:szCs w:val="17"/>
          <w:color w:val="0000FF"/>
        </w:rPr>
        <w:t>11605 N. COMMUNITY HOUSE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Paymentus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27,054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1,471,411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Explanation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of</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Responses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the withholding of shares by the issuer to cover tax withholding obligations in connection with the vesting of restricted stock units under the issuer's 2021 Equity Incentive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directly by Ashigrace LLC. Dushyant Sharma is the sole manager of Ashigrace LLC and has sole voting and dispositive power with respect to the securities held by Ashigrace LLC.</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Meredith P. Burbank,</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63304"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2026-05-18T15:37:47Z</dcterms:created>
  <dcterms:modified xsi:type="dcterms:W3CDTF">2026-05-18T15:37:47Z</dcterms:modified>
</cp:coreProperties>
</file>