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8176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176895"/>
                    </a:xfrm>
                    <a:prstGeom prst="rect">
                      <a:avLst/>
                    </a:prstGeom>
                    <a:noFill/>
                  </pic:spPr>
                </pic:pic>
              </a:graphicData>
            </a:graphic>
          </wp:anchor>
        </w:drawing>
      </w:r>
    </w:p>
    <w:p>
      <w:pPr>
        <w:spacing w:after="0" w:line="1017" w:lineRule="exact"/>
        <w:rPr>
          <w:sz w:val="24"/>
          <w:szCs w:val="24"/>
          <w:color w:val="auto"/>
        </w:rPr>
      </w:pPr>
    </w:p>
    <w:p>
      <w:pPr>
        <w:sectPr>
          <w:pgSz w:w="11900" w:h="16894"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Barnds Thomas</w:t>
              </w:r>
            </w:hyperlink>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7"/>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Paymentus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vMerge w:val="restart"/>
          </w:tcPr>
          <w:p>
            <w:pPr>
              <w:jc w:val="center"/>
              <w:ind w:left="61"/>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60" w:type="dxa"/>
            <w:vAlign w:val="bottom"/>
            <w:gridSpan w:val="7"/>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ACCEL-KKR</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11/17/2025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1020" w:type="dxa"/>
            <w:vAlign w:val="bottom"/>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9"/>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92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60" w:type="dxa"/>
            <w:vAlign w:val="bottom"/>
          </w:tcPr>
          <w:p>
            <w:pPr>
              <w:jc w:val="center"/>
              <w:ind w:right="187"/>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9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jc w:val="center"/>
              <w:ind w:right="187"/>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4"/>
          </w:tcPr>
          <w:p>
            <w:pPr>
              <w:spacing w:after="0"/>
              <w:rPr>
                <w:sz w:val="6"/>
                <w:szCs w:val="6"/>
                <w:color w:val="auto"/>
              </w:rPr>
            </w:pPr>
          </w:p>
        </w:tc>
        <w:tc>
          <w:tcPr>
            <w:tcW w:w="2060" w:type="dxa"/>
            <w:vAlign w:val="bottom"/>
            <w:tcBorders>
              <w:bottom w:val="single" w:sz="8" w:color="2C2C2C"/>
            </w:tcBorders>
            <w:gridSpan w:val="5"/>
          </w:tcPr>
          <w:p>
            <w:pPr>
              <w:spacing w:after="0"/>
              <w:rPr>
                <w:sz w:val="6"/>
                <w:szCs w:val="6"/>
                <w:color w:val="auto"/>
              </w:rPr>
            </w:pPr>
          </w:p>
        </w:tc>
        <w:tc>
          <w:tcPr>
            <w:tcW w:w="2140" w:type="dxa"/>
            <w:vAlign w:val="bottom"/>
            <w:tcBorders>
              <w:bottom w:val="single" w:sz="8" w:color="2C2C2C"/>
            </w:tcBorders>
            <w:gridSpan w:val="7"/>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8"/>
          </w:tcPr>
          <w:p>
            <w:pPr>
              <w:jc w:val="center"/>
              <w:ind w:right="10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15"/>
          </w:tcPr>
          <w:p>
            <w:pPr>
              <w:jc w:val="center"/>
              <w:ind w:left="61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2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60" w:type="dxa"/>
            <w:vAlign w:val="bottom"/>
            <w:gridSpan w:val="6"/>
          </w:tcPr>
          <w:p>
            <w:pPr>
              <w:ind w:left="2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jc w:val="center"/>
              <w:ind w:right="740"/>
              <w:spacing w:after="0" w:line="124"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6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Exercisable</w:t>
            </w: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3,602,968</w:t>
            </w: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183"/>
              <w:spacing w:after="0"/>
              <w:rPr>
                <w:sz w:val="20"/>
                <w:szCs w:val="20"/>
                <w:color w:val="auto"/>
              </w:rPr>
            </w:pPr>
            <w:r>
              <w:rPr>
                <w:rFonts w:ascii="Times New Roman" w:cs="Times New Roman" w:eastAsia="Times New Roman" w:hAnsi="Times New Roman"/>
                <w:sz w:val="12"/>
                <w:szCs w:val="12"/>
                <w:color w:val="0000FF"/>
              </w:rPr>
              <w:t>3,602,968</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21,395,285</w:t>
            </w:r>
          </w:p>
        </w:tc>
        <w:tc>
          <w:tcPr>
            <w:tcW w:w="6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CV III,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center"/>
              <w:ind w:right="2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180,352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restart"/>
          </w:tcPr>
          <w:p>
            <w:pPr>
              <w:ind w:left="20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60" w:type="dxa"/>
            <w:vAlign w:val="bottom"/>
          </w:tcPr>
          <w:p>
            <w:pPr>
              <w:jc w:val="center"/>
              <w:ind w:left="203"/>
              <w:spacing w:after="0"/>
              <w:rPr>
                <w:sz w:val="20"/>
                <w:szCs w:val="20"/>
                <w:color w:val="auto"/>
              </w:rPr>
            </w:pPr>
            <w:r>
              <w:rPr>
                <w:rFonts w:ascii="Times New Roman" w:cs="Times New Roman" w:eastAsia="Times New Roman" w:hAnsi="Times New Roman"/>
                <w:sz w:val="12"/>
                <w:szCs w:val="12"/>
                <w:color w:val="0000FF"/>
              </w:rPr>
              <w:t>180,352</w:t>
            </w:r>
          </w:p>
        </w:tc>
        <w:tc>
          <w:tcPr>
            <w:tcW w:w="240" w:type="dxa"/>
            <w:vAlign w:val="bottom"/>
          </w:tcPr>
          <w:p>
            <w:pPr>
              <w:spacing w:after="0"/>
              <w:rPr>
                <w:sz w:val="12"/>
                <w:szCs w:val="12"/>
                <w:color w:val="auto"/>
              </w:rPr>
            </w:pPr>
          </w:p>
        </w:tc>
        <w:tc>
          <w:tcPr>
            <w:tcW w:w="460" w:type="dxa"/>
            <w:vAlign w:val="bottom"/>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1,183,406</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Members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Borders>
              <w:right w:val="single" w:sz="8" w:color="2C2C2C"/>
            </w:tcBorders>
            <w:gridSpan w:val="3"/>
          </w:tcPr>
          <w:p>
            <w:pPr>
              <w:ind w:left="160"/>
              <w:spacing w:after="0" w:line="124" w:lineRule="exact"/>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151,676</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203"/>
              <w:spacing w:after="0"/>
              <w:rPr>
                <w:sz w:val="20"/>
                <w:szCs w:val="20"/>
                <w:color w:val="auto"/>
              </w:rPr>
            </w:pPr>
            <w:r>
              <w:rPr>
                <w:rFonts w:ascii="Times New Roman" w:cs="Times New Roman" w:eastAsia="Times New Roman" w:hAnsi="Times New Roman"/>
                <w:sz w:val="12"/>
                <w:szCs w:val="12"/>
                <w:color w:val="0000FF"/>
              </w:rPr>
              <w:t>151,676</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900,687</w:t>
            </w:r>
          </w:p>
        </w:tc>
        <w:tc>
          <w:tcPr>
            <w:tcW w:w="6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12"/>
                <w:szCs w:val="12"/>
                <w:color w:val="0000FF"/>
                <w:w w:val="98"/>
              </w:rPr>
              <w:t>III, LP</w:t>
            </w:r>
            <w:r>
              <w:rPr>
                <w:rFonts w:ascii="Times New Roman" w:cs="Times New Roman" w:eastAsia="Times New Roman" w:hAnsi="Times New Roman"/>
                <w:sz w:val="20"/>
                <w:szCs w:val="20"/>
                <w:color w:val="008000"/>
                <w:w w:val="98"/>
                <w:vertAlign w:val="superscript"/>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5,084</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203"/>
              <w:spacing w:after="0"/>
              <w:rPr>
                <w:sz w:val="20"/>
                <w:szCs w:val="20"/>
                <w:color w:val="auto"/>
              </w:rPr>
            </w:pPr>
            <w:r>
              <w:rPr>
                <w:rFonts w:ascii="Times New Roman" w:cs="Times New Roman" w:eastAsia="Times New Roman" w:hAnsi="Times New Roman"/>
                <w:sz w:val="12"/>
                <w:szCs w:val="12"/>
                <w:color w:val="0000FF"/>
              </w:rPr>
              <w:t>5,084</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30,184</w:t>
            </w:r>
          </w:p>
        </w:tc>
        <w:tc>
          <w:tcPr>
            <w:tcW w:w="6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tcPr>
          <w:p>
            <w:pPr>
              <w:ind w:left="160"/>
              <w:spacing w:after="0" w:line="161" w:lineRule="exact"/>
              <w:rPr>
                <w:sz w:val="20"/>
                <w:szCs w:val="20"/>
                <w:color w:val="auto"/>
              </w:rPr>
            </w:pPr>
            <w:r>
              <w:rPr>
                <w:rFonts w:ascii="Times New Roman" w:cs="Times New Roman" w:eastAsia="Times New Roman" w:hAnsi="Times New Roman"/>
                <w:sz w:val="11"/>
                <w:szCs w:val="11"/>
                <w:color w:val="0000FF"/>
              </w:rPr>
              <w:t>Fund,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59,920</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183"/>
              <w:spacing w:after="0"/>
              <w:rPr>
                <w:sz w:val="20"/>
                <w:szCs w:val="20"/>
                <w:color w:val="auto"/>
              </w:rPr>
            </w:pPr>
            <w:r>
              <w:rPr>
                <w:rFonts w:ascii="Times New Roman" w:cs="Times New Roman" w:eastAsia="Times New Roman" w:hAnsi="Times New Roman"/>
                <w:sz w:val="12"/>
                <w:szCs w:val="12"/>
                <w:color w:val="0000FF"/>
              </w:rPr>
              <w:t>59,920</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355,825</w:t>
            </w:r>
          </w:p>
        </w:tc>
        <w:tc>
          <w:tcPr>
            <w:tcW w:w="6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5,364,707</w:t>
            </w:r>
            <w:r>
              <w:rPr>
                <w:rFonts w:ascii="Times New Roman" w:cs="Times New Roman" w:eastAsia="Times New Roman" w:hAnsi="Times New Roman"/>
                <w:sz w:val="20"/>
                <w:szCs w:val="20"/>
                <w:color w:val="008000"/>
                <w:w w:val="95"/>
                <w:vertAlign w:val="superscript"/>
              </w:rPr>
              <w:t>(5)</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5,364,707</w:t>
            </w:r>
          </w:p>
        </w:tc>
        <w:tc>
          <w:tcPr>
            <w:tcW w:w="6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60"/>
              <w:spacing w:after="0" w:line="23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AKKR SC</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820,762</w:t>
            </w:r>
            <w:r>
              <w:rPr>
                <w:rFonts w:ascii="Times New Roman" w:cs="Times New Roman" w:eastAsia="Times New Roman" w:hAnsi="Times New Roman"/>
                <w:sz w:val="20"/>
                <w:szCs w:val="20"/>
                <w:color w:val="008000"/>
                <w:w w:val="94"/>
                <w:vertAlign w:val="superscript"/>
              </w:rPr>
              <w:t>(6)</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GPI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820,762</w:t>
            </w:r>
          </w:p>
        </w:tc>
        <w:tc>
          <w:tcPr>
            <w:tcW w:w="6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HoldCo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60"/>
              <w:spacing w:after="0" w:line="23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w w:val="96"/>
              </w:rPr>
              <w:t>6,420,421</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w w:val="85"/>
              </w:rPr>
              <w:t>(7)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80" w:type="dxa"/>
            <w:vAlign w:val="bottom"/>
            <w:vMerge w:val="restart"/>
          </w:tcPr>
          <w:p>
            <w:pPr>
              <w:jc w:val="center"/>
              <w:ind w:right="2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8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6,420,421</w:t>
            </w:r>
          </w:p>
        </w:tc>
        <w:tc>
          <w:tcPr>
            <w:tcW w:w="600" w:type="dxa"/>
            <w:vAlign w:val="bottom"/>
            <w:vMerge w:val="restart"/>
          </w:tcPr>
          <w:p>
            <w:pPr>
              <w:jc w:val="center"/>
              <w:ind w:left="41"/>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-5642610</wp:posOffset>
            </wp:positionV>
            <wp:extent cx="28575" cy="5648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564832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16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Class B Common Stock is convertible at any time, at the holder's election and automatically in connection with certain transfers and upon certain other events, into an equal number of shares of Class A Common Stock and has no expiration date.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In-kind pro rata distribution from the Reporting Person to its partners, without consideration.</w:t>
      </w:r>
    </w:p>
    <w:p>
      <w:pPr>
        <w:spacing w:after="0" w:line="47" w:lineRule="exact"/>
        <w:rPr>
          <w:rFonts w:ascii="Times New Roman" w:cs="Times New Roman" w:eastAsia="Times New Roman" w:hAnsi="Times New Roman"/>
          <w:sz w:val="12"/>
          <w:szCs w:val="12"/>
          <w:color w:val="008000"/>
        </w:rPr>
      </w:pPr>
    </w:p>
    <w:p>
      <w:pPr>
        <w:jc w:val="both"/>
        <w:ind w:left="40" w:right="2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Accel-KKR Holdings GP, LLC ,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w:t>
      </w:r>
    </w:p>
    <w:p>
      <w:pPr>
        <w:sectPr>
          <w:pgSz w:w="11900" w:h="16894" w:orient="portrait"/>
          <w:cols w:equalWidth="0" w:num="1">
            <w:col w:w="11080"/>
          </w:cols>
          <w:pgMar w:left="460" w:top="213" w:right="359" w:bottom="0" w:gutter="0" w:footer="0" w:header="0"/>
          <w:type w:val="continuous"/>
        </w:sectPr>
      </w:pPr>
    </w:p>
    <w:bookmarkStart w:id="1" w:name="page2"/>
    <w:bookmarkEnd w:id="1"/>
    <w:p>
      <w:pPr>
        <w:ind w:left="4" w:right="500"/>
        <w:spacing w:after="0" w:line="275" w:lineRule="auto"/>
        <w:rPr>
          <w:sz w:val="20"/>
          <w:szCs w:val="20"/>
          <w:color w:val="auto"/>
        </w:rPr>
      </w:pPr>
      <w:r>
        <w:rPr>
          <w:rFonts w:ascii="Times New Roman" w:cs="Times New Roman" w:eastAsia="Times New Roman" w:hAnsi="Times New Roman"/>
          <w:sz w:val="12"/>
          <w:szCs w:val="12"/>
          <w:color w:val="008000"/>
        </w:rPr>
        <w:t>Capital Partners II, LP, or GC II; (v) Accel-KKR Members Fund, LLC, or Members Fund; (vi) AKKR Strategic Capital LP, or SC; and (vii) AKKR SC GPI HoldCo LP, or SC GPI. AKKR Fund III Management Company CV, LP, or CV III GP, is the sole general partner of CV III. AKKR Growth Capital Management Company III, LP, or GC III GP, is the sole general partner of GC III.</w:t>
      </w:r>
    </w:p>
    <w:p>
      <w:pPr>
        <w:spacing w:after="0" w:line="5" w:lineRule="exact"/>
        <w:rPr>
          <w:sz w:val="20"/>
          <w:szCs w:val="20"/>
          <w:color w:val="auto"/>
        </w:rPr>
      </w:pPr>
    </w:p>
    <w:p>
      <w:pPr>
        <w:ind w:left="4" w:hanging="4"/>
        <w:spacing w:after="0" w:line="246"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Each of the foregoing entities and Mr. Palumbo have separately filed Form 4s reporting their interests.</w:t>
      </w:r>
    </w:p>
    <w:p>
      <w:pPr>
        <w:spacing w:after="0" w:line="22" w:lineRule="exact"/>
        <w:rPr>
          <w:rFonts w:ascii="Times New Roman" w:cs="Times New Roman" w:eastAsia="Times New Roman" w:hAnsi="Times New Roman"/>
          <w:sz w:val="12"/>
          <w:szCs w:val="12"/>
          <w:color w:val="008000"/>
        </w:rPr>
      </w:pPr>
    </w:p>
    <w:p>
      <w:pPr>
        <w:ind w:left="4" w:right="300" w:hanging="4"/>
        <w:spacing w:after="0" w:line="27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303,450 shares received from certain of the other reporting persons in the distribution described in footnote 2. Such shares were previously reported as indirectly owned through the entities effecting such distributions.</w:t>
      </w:r>
    </w:p>
    <w:p>
      <w:pPr>
        <w:spacing w:after="0" w:line="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59,077 shares received from certain of the other reporting persons described in footnote 2. Such shares were previously reported as indirectly owned through the entities effecting such distributions.</w:t>
      </w:r>
    </w:p>
    <w:p>
      <w:pPr>
        <w:spacing w:after="0" w:line="47"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458,431 shares received in distributions described in footnote 2. Such shares were previously reported as indirectly owned through the entities effecting such distributions.</w:t>
      </w:r>
    </w:p>
    <w:p>
      <w:pPr>
        <w:spacing w:after="0" w:line="47"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the Barnds Living Trust dtd 6/23/2003.</w:t>
      </w:r>
    </w:p>
    <w:p>
      <w:pPr>
        <w:spacing w:after="0" w:line="62"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Thomas C. Barnds</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11/19/2025</w:t>
            </w:r>
          </w:p>
        </w:tc>
      </w:tr>
      <w:tr>
        <w:trPr>
          <w:trHeight w:val="20"/>
        </w:trPr>
        <w:tc>
          <w:tcPr>
            <w:tcW w:w="1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8"/>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60" w:hanging="4"/>
        <w:spacing w:after="0" w:line="32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4980"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2025-11-19T17:39:34Z</dcterms:created>
  <dcterms:modified xsi:type="dcterms:W3CDTF">2025-11-19T17:39:34Z</dcterms:modified>
</cp:coreProperties>
</file>