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Paymentus Holdings, Inc.</w:t>
              </w:r>
            </w:hyperlink>
            <w:r>
              <w:rPr/>
              <w:t xml:space="preserve"> [ </w:t>
            </w:r>
            <w:r>
              <w:rPr>
                <w:rFonts w:ascii="Times;serif" w:hAnsi="Times;serif"/>
                <w:color w:val="0000FF"/>
                <w:sz w:val="24"/>
                <w:shd w:fill="FFFFFF" w:val="clear"/>
              </w:rPr>
              <w:t>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9"/>
        <w:gridCol w:w="904"/>
        <w:gridCol w:w="773"/>
        <w:gridCol w:w="575"/>
        <w:gridCol w:w="376"/>
        <w:gridCol w:w="815"/>
        <w:gridCol w:w="463"/>
        <w:gridCol w:w="625"/>
        <w:gridCol w:w="1177"/>
        <w:gridCol w:w="1008"/>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1,496</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2434" w:type="dxa"/>
        <w:jc w:val="left"/>
        <w:tblInd w:w="-7" w:type="dxa"/>
        <w:tblLayout w:type="fixed"/>
        <w:tblCellMar>
          <w:top w:w="60" w:type="dxa"/>
          <w:left w:w="60" w:type="dxa"/>
          <w:bottom w:w="60" w:type="dxa"/>
          <w:right w:w="60" w:type="dxa"/>
        </w:tblCellMar>
      </w:tblPr>
      <w:tblGrid>
        <w:gridCol w:w="905"/>
        <w:gridCol w:w="861"/>
        <w:gridCol w:w="891"/>
        <w:gridCol w:w="771"/>
        <w:gridCol w:w="555"/>
        <w:gridCol w:w="336"/>
        <w:gridCol w:w="816"/>
        <w:gridCol w:w="276"/>
        <w:gridCol w:w="906"/>
        <w:gridCol w:w="801"/>
        <w:gridCol w:w="891"/>
        <w:gridCol w:w="921"/>
        <w:gridCol w:w="801"/>
        <w:gridCol w:w="966"/>
        <w:gridCol w:w="831"/>
        <w:gridCol w:w="90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2,899,940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received in a pro rata distribution from funds affiliated with Accel-KKR. The acquisition of such shares was exempt pursuant to Rule 16a-9(a)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Jason and Farah Klein Revocable Trust dtd 1/27/2011.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Class B Common Stock is convertible at any time, at the holder's election and automatically in connection with certain transfers and upon certain other events, into an equal number of shares of Class A Common Stock and has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Klein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374" TargetMode="External"/><Relationship Id="rId5" Type="http://schemas.openxmlformats.org/officeDocument/2006/relationships/hyperlink" Target="http://www.sec.gov/cgi-bin/browse-edgar?action=getcompany&amp;CIK=00018411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3610</Characters>
  <CharactersWithSpaces>4202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