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40630.htm"/>
      <w:bookmarkStart w:id="1" w:name="kspay20240630"/>
      <w:bookmarkEnd w:id="0"/>
      <w:bookmarkEnd w:id="1"/>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b/>
          <w:color w:val="000000"/>
          <w:sz w:val="20"/>
        </w:rPr>
      </w:pPr>
      <w:r>
        <w:rPr>
          <w:rFonts w:ascii="Arial" w:hAnsi="Arial"/>
          <w:b/>
          <w:color w:val="000000"/>
          <w:sz w:val="20"/>
        </w:rPr>
        <w:t>FORM 10-Q</w:t>
      </w:r>
    </w:p>
    <w:p>
      <w:pPr>
        <w:pStyle w:val="TextBody"/>
        <w:bidi w:val="0"/>
        <w:jc w:val="left"/>
        <w:rPr>
          <w:rFonts w:ascii="Arial" w:hAnsi="Arial"/>
          <w:b/>
          <w:color w:val="000000"/>
          <w:sz w:val="20"/>
        </w:rPr>
      </w:pPr>
      <w:r>
        <w:rPr>
          <w:rFonts w:ascii="Arial" w:hAnsi="Arial"/>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quarterly period ended June 30, 2024</w:t>
      </w:r>
    </w:p>
    <w:p>
      <w:pPr>
        <w:pStyle w:val="TextBody"/>
        <w:bidi w:val="0"/>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Commission File Number: 001-40429</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tbl>
      <w:tblPr>
        <w:tblW w:w="6317" w:type="dxa"/>
        <w:jc w:val="left"/>
        <w:tblInd w:w="0" w:type="dxa"/>
        <w:tblLayout w:type="fixed"/>
        <w:tblCellMar>
          <w:top w:w="28" w:type="dxa"/>
          <w:left w:w="28" w:type="dxa"/>
          <w:bottom w:w="28" w:type="dxa"/>
          <w:right w:w="28" w:type="dxa"/>
        </w:tblCellMar>
      </w:tblPr>
      <w:tblGrid>
        <w:gridCol w:w="4516"/>
        <w:gridCol w:w="1801"/>
      </w:tblGrid>
      <w:tr>
        <w:trPr/>
        <w:tc>
          <w:tcPr>
            <w:tcW w:w="451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45-3188251</w:t>
            </w:r>
          </w:p>
        </w:tc>
      </w:tr>
      <w:tr>
        <w:trPr/>
        <w:tc>
          <w:tcPr>
            <w:tcW w:w="451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(State or other jurisdiction of</w:t>
            </w:r>
          </w:p>
          <w:p>
            <w:pPr>
              <w:pStyle w:val="TableContents"/>
              <w:bidi w:val="0"/>
              <w:spacing w:before="0" w:after="283"/>
              <w:jc w:val="center"/>
              <w:rPr>
                <w:rFonts w:ascii="Arial" w:hAnsi="Arial"/>
                <w:b/>
                <w:color w:val="000000"/>
                <w:sz w:val="20"/>
              </w:rPr>
            </w:pPr>
            <w:r>
              <w:rPr>
                <w:rFonts w:ascii="Arial" w:hAnsi="Arial"/>
                <w:b/>
                <w:color w:val="000000"/>
                <w:sz w:val="20"/>
              </w:rPr>
              <w:t>incorporation or organization)</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(I.R.S. Employer</w:t>
              <w:br/>
              <w:t>Identification No.)</w:t>
            </w:r>
          </w:p>
        </w:tc>
      </w:tr>
      <w:tr>
        <w:trPr/>
        <w:tc>
          <w:tcPr>
            <w:tcW w:w="451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11605 North Community House Road, Suite 300</w:t>
            </w:r>
          </w:p>
          <w:p>
            <w:pPr>
              <w:pStyle w:val="TableContents"/>
              <w:bidi w:val="0"/>
              <w:spacing w:before="0" w:after="283"/>
              <w:jc w:val="center"/>
              <w:rPr>
                <w:rFonts w:ascii="Arial" w:hAnsi="Arial"/>
                <w:b/>
                <w:color w:val="000000"/>
                <w:sz w:val="20"/>
              </w:rPr>
            </w:pPr>
            <w:r>
              <w:rPr>
                <w:rFonts w:ascii="Arial" w:hAnsi="Arial"/>
                <w:b/>
                <w:color w:val="000000"/>
                <w:sz w:val="20"/>
              </w:rPr>
              <w:t>Charlotte, NC</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28277</w:t>
            </w:r>
          </w:p>
        </w:tc>
      </w:tr>
      <w:tr>
        <w:trPr/>
        <w:tc>
          <w:tcPr>
            <w:tcW w:w="45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(Address of principal executive offices)</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(Zip Code)</w:t>
            </w:r>
          </w:p>
        </w:tc>
      </w:tr>
    </w:tbl>
    <w:p>
      <w:pPr>
        <w:pStyle w:val="TextBody"/>
        <w:bidi w:val="0"/>
        <w:jc w:val="center"/>
        <w:rPr>
          <w:rFonts w:ascii="Arial" w:hAnsi="Arial"/>
          <w:b/>
          <w:color w:val="000000"/>
          <w:sz w:val="20"/>
        </w:rPr>
      </w:pPr>
      <w:r>
        <w:rPr>
          <w:rFonts w:ascii="Arial" w:hAnsi="Arial"/>
          <w:b/>
          <w:color w:val="000000"/>
          <w:sz w:val="20"/>
        </w:rPr>
        <w:t>(888) 440-4826</w:t>
      </w:r>
    </w:p>
    <w:p>
      <w:pPr>
        <w:pStyle w:val="TextBody"/>
        <w:bidi w:val="0"/>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bl>
      <w:tblPr>
        <w:tblW w:w="8801" w:type="dxa"/>
        <w:jc w:val="left"/>
        <w:tblInd w:w="0" w:type="dxa"/>
        <w:tblLayout w:type="fixed"/>
        <w:tblCellMar>
          <w:top w:w="28" w:type="dxa"/>
          <w:left w:w="28" w:type="dxa"/>
          <w:bottom w:w="28" w:type="dxa"/>
          <w:right w:w="28" w:type="dxa"/>
        </w:tblCellMar>
      </w:tblPr>
      <w:tblGrid>
        <w:gridCol w:w="4006"/>
        <w:gridCol w:w="109"/>
        <w:gridCol w:w="916"/>
        <w:gridCol w:w="109"/>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Class A 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No ☐</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No ☐</w:t>
      </w:r>
    </w:p>
    <w:p>
      <w:pPr>
        <w:pStyle w:val="TextBody"/>
        <w:bidi w:val="0"/>
        <w:spacing w:before="120" w:after="120"/>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926" w:type="dxa"/>
        <w:jc w:val="left"/>
        <w:tblInd w:w="0" w:type="dxa"/>
        <w:tblLayout w:type="fixed"/>
        <w:tblCellMar>
          <w:top w:w="28" w:type="dxa"/>
          <w:left w:w="28" w:type="dxa"/>
          <w:bottom w:w="28" w:type="dxa"/>
          <w:right w:w="28" w:type="dxa"/>
        </w:tblCellMar>
      </w:tblPr>
      <w:tblGrid>
        <w:gridCol w:w="2431"/>
        <w:gridCol w:w="109"/>
        <w:gridCol w:w="376"/>
        <w:gridCol w:w="109"/>
        <w:gridCol w:w="2431"/>
        <w:gridCol w:w="109"/>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No ☒</w:t>
      </w:r>
    </w:p>
    <w:p>
      <w:pPr>
        <w:pStyle w:val="TextBody"/>
        <w:bidi w:val="0"/>
        <w:spacing w:before="120" w:after="283"/>
        <w:jc w:val="left"/>
        <w:rPr>
          <w:rFonts w:ascii="Times New Roman" w:hAnsi="Times New Roman"/>
          <w:sz w:val="20"/>
        </w:rPr>
      </w:pPr>
      <w:r>
        <w:rPr>
          <w:rFonts w:ascii="Arial" w:hAnsi="Arial"/>
          <w:color w:val="000000"/>
          <w:sz w:val="20"/>
        </w:rPr>
        <w:t>As of August 6, 2024, the registrant had 22,348,919</w:t>
      </w:r>
      <w:r>
        <w:rPr>
          <w:rFonts w:ascii="Times New Roman" w:hAnsi="Times New Roman"/>
          <w:color w:val="000000"/>
          <w:sz w:val="20"/>
        </w:rPr>
        <w:t xml:space="preserve"> </w:t>
      </w:r>
      <w:r>
        <w:rPr>
          <w:rFonts w:ascii="Arial" w:hAnsi="Arial"/>
          <w:color w:val="000000"/>
          <w:sz w:val="20"/>
        </w:rPr>
        <w:t>shares of Class A Common Stock, $0.0001 par value per share and 102,127,810</w:t>
      </w:r>
      <w:r>
        <w:rPr>
          <w:rFonts w:ascii="Times New Roman" w:hAnsi="Times New Roman"/>
          <w:color w:val="000000"/>
          <w:sz w:val="20"/>
        </w:rPr>
        <w:t xml:space="preserve"> </w:t>
      </w:r>
      <w:r>
        <w:rPr>
          <w:rFonts w:ascii="Arial" w:hAnsi="Arial"/>
          <w:color w:val="000000"/>
          <w:sz w:val="20"/>
        </w:rPr>
        <w:t>shares of Class B Common Stock, $0.0001 par value per share, outstanding.</w:t>
      </w:r>
    </w:p>
    <w:p>
      <w:pPr>
        <w:pStyle w:val="TextBody"/>
        <w:pBdr>
          <w:bottom w:val="double" w:sz="1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485" w:type="dxa"/>
        <w:jc w:val="left"/>
        <w:tblInd w:w="0" w:type="dxa"/>
        <w:tblLayout w:type="fixed"/>
        <w:tblCellMar>
          <w:top w:w="28" w:type="dxa"/>
          <w:left w:w="28" w:type="dxa"/>
          <w:bottom w:w="28" w:type="dxa"/>
          <w:right w:w="28" w:type="dxa"/>
        </w:tblCellMar>
      </w:tblPr>
      <w:tblGrid>
        <w:gridCol w:w="886"/>
        <w:gridCol w:w="7846"/>
        <w:gridCol w:w="753"/>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Arial" w:hAnsi="Arial"/>
                <w:b/>
                <w:color w:val="000000"/>
                <w:sz w:val="20"/>
              </w:rPr>
            </w:pPr>
            <w:r>
              <w:rPr>
                <w:rFonts w:ascii="Arial" w:hAnsi="Arial"/>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Arial" w:hAnsi="Arial"/>
                <w:color w:val="000000"/>
                <w:sz w:val="20"/>
                <w:u w:val="single"/>
              </w:rPr>
              <w:t>Special Note Reg</w:t>
            </w:r>
            <w:hyperlink w:anchor="forward_looking_statements">
              <w:r>
                <w:rPr>
                  <w:rStyle w:val="InternetLink"/>
                  <w:rFonts w:ascii="Arial" w:hAnsi="Arial"/>
                  <w:color w:val="000080"/>
                  <w:sz w:val="20"/>
                  <w:u w:val="single"/>
                </w:rPr>
                <w:t>arding Forward-Looking Statements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u w:val="single"/>
                </w:rPr>
                <w:t>FINANCIAL INFORMATION</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00"/>
                  <w:sz w:val="20"/>
                  <w:u w:val="single"/>
                </w:rPr>
                <w:t>Financial Statements (Unaudited)</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Arial" w:hAnsi="Arial"/>
                  <w:color w:val="000000"/>
                  <w:sz w:val="20"/>
                  <w:u w:val="single"/>
                </w:rPr>
                <w:t>Condensed Consolidated Balance Sheets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00"/>
                  <w:sz w:val="20"/>
                  <w:u w:val="single"/>
                </w:rPr>
                <w:t>Condensed Consolidated Statements of Operations and Comprehensive Income</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lders_equity_qtd">
              <w:r>
                <w:rPr>
                  <w:rStyle w:val="InternetLink"/>
                  <w:rFonts w:ascii="Arial" w:hAnsi="Arial"/>
                  <w:color w:val="000000"/>
                  <w:sz w:val="20"/>
                  <w:u w:val="single"/>
                </w:rPr>
                <w:t>Condensed Consolidated Statements of Stockholders' Equity</w:t>
              </w:r>
            </w:hyperlink>
            <w:hyperlink w:anchor="stockhlders_equity_qtd">
              <w:r>
                <w:rPr>
                  <w:rStyle w:val="InternetLink"/>
                  <w:rFonts w:ascii="Times New Roman" w:hAnsi="Times New Roman"/>
                  <w:color w:val="000000"/>
                  <w:sz w:val="20"/>
                </w:rPr>
                <w:t xml:space="preserve"> </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00"/>
                  <w:sz w:val="20"/>
                  <w:u w:val="single"/>
                </w:rPr>
                <w:t>Condensed Consolidated Statements of Cash Flows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00"/>
                  <w:sz w:val="20"/>
                  <w:u w:val="single"/>
                </w:rPr>
                <w:t>Notes to Condensed Consolidated Financial Statements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Arial" w:hAnsi="Arial"/>
                  <w:color w:val="000000"/>
                  <w:sz w:val="20"/>
                  <w:u w:val="single"/>
                </w:rPr>
                <w:t>Management’s Discussion and Analysis of Financial Condition and Results of Operations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00"/>
                  <w:sz w:val="20"/>
                  <w:u w:val="single"/>
                </w:rPr>
                <w:t>Quantitative and Qualitative Disclosures About Market Risk</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00"/>
                  <w:sz w:val="20"/>
                  <w:u w:val="single"/>
                </w:rPr>
                <w:t>Controls and Procedures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INFORMATION</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u w:val="single"/>
                </w:rPr>
                <w:t>Legal Proceedings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00"/>
                  <w:sz w:val="20"/>
                  <w:u w:val="single"/>
                </w:rPr>
                <w:t>Risk Factors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w:hAnsi="Arial"/>
                  <w:color w:val="000000"/>
                  <w:sz w:val="20"/>
                  <w:u w:val="single"/>
                </w:rPr>
                <w:t>Unregistered Sales of Equity Securities and Use of Proceeds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00"/>
                  <w:sz w:val="20"/>
                  <w:u w:val="single"/>
                </w:rPr>
                <w:t>Defaults Upon Senior Securities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00"/>
                  <w:sz w:val="20"/>
                  <w:u w:val="single"/>
                </w:rPr>
                <w:t>Mine Safety Disclosures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00"/>
                  <w:sz w:val="20"/>
                  <w:u w:val="single"/>
                </w:rPr>
                <w:t>Other Information</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u w:val="single"/>
                </w:rPr>
                <w:t>Exhibits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00"/>
                  <w:sz w:val="20"/>
                  <w:u w:val="single"/>
                </w:rPr>
                <w:t>Signatures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Arial" w:hAnsi="Arial"/>
          <w:b/>
          <w:i/>
          <w:color w:val="000000"/>
          <w:sz w:val="20"/>
        </w:rPr>
      </w:pPr>
      <w:bookmarkStart w:id="2" w:name="forward_looking_statements"/>
      <w:bookmarkEnd w:id="2"/>
      <w:r>
        <w:rPr>
          <w:rFonts w:ascii="Arial" w:hAnsi="Arial"/>
          <w:b/>
          <w:i/>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quarterly report on Form 10-Q for the quarterly period ended June 30, 2024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may include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effectively manage our growth and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further attract, retain and expand our biller, financial institutions, partner and consumer base;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timely implement and recognize revenue from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any material cybersecurity incident on our reputation as a trusted brand or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market opportunity and anticipated trends in our business and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remain competitive as we continue to scale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develop new product features and enhance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hire and retain experienced and talented employees as we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general economic conditions, including inflation, and their impact on us, consumer demand, average bill amounts and interchange fees, and the impact of changes from an evolving regulatory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maintain and enhance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 to expand into new channels and industry verticals across different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widespread health issues on our operating results, liquidity and financial condition and on our employees, billers, financial institutions, partners, consumers and other key stakeholders;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international expansion plans and ability to expand internationally;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those factors described in the sections titled “Risk Factors” and “Management’s Discussion and Analysis of Financial Conditions and Results of Operations” in our Annual Report on Form 10-K for the year ended December 31, 2023 and our subsequent Quarterly Reports on Form 10-Q, and the section titled “Management’s Discussion and Analysis of Financial Condition and Results of Operations” in this Quarterly Report.</w:t>
      </w:r>
    </w:p>
    <w:p>
      <w:pPr>
        <w:pStyle w:val="TextBody"/>
        <w:bidi w:val="0"/>
        <w:spacing w:before="120" w:after="283"/>
        <w:jc w:val="both"/>
        <w:rPr>
          <w:rFonts w:ascii="Arial" w:hAnsi="Arial"/>
          <w:color w:val="000000"/>
          <w:sz w:val="20"/>
        </w:rPr>
      </w:pPr>
      <w:r>
        <w:rPr>
          <w:rFonts w:ascii="Arial" w:hAnsi="Arial"/>
          <w:color w:val="000000"/>
          <w:sz w:val="20"/>
        </w:rPr>
        <w:t>We caution you that the foregoing list may not contain all of the forward-looking statements made in this report.</w:t>
      </w:r>
    </w:p>
    <w:p>
      <w:pPr>
        <w:pStyle w:val="TextBody"/>
        <w:bidi w:val="0"/>
        <w:spacing w:before="120" w:after="283"/>
        <w:jc w:val="both"/>
        <w:rPr>
          <w:rFonts w:ascii="Times New Roman" w:hAnsi="Times New Roman"/>
          <w:sz w:val="20"/>
        </w:rPr>
      </w:pPr>
      <w:r>
        <w:rPr>
          <w:rFonts w:ascii="Arial" w:hAnsi="Arial"/>
          <w:color w:val="000000"/>
          <w:sz w:val="20"/>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both"/>
        <w:rPr>
          <w:rFonts w:ascii="Times New Roman" w:hAnsi="Times New Roman"/>
          <w:sz w:val="20"/>
        </w:rPr>
      </w:pPr>
      <w:r>
        <w:rPr>
          <w:rFonts w:ascii="Arial" w:hAnsi="Arial"/>
          <w:color w:val="000000"/>
          <w:sz w:val="20"/>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Certain Definitions</w:t>
      </w:r>
    </w:p>
    <w:p>
      <w:pPr>
        <w:pStyle w:val="TextBody"/>
        <w:bidi w:val="0"/>
        <w:spacing w:before="120" w:after="283"/>
        <w:jc w:val="both"/>
        <w:rPr>
          <w:rFonts w:ascii="Arial" w:hAnsi="Arial"/>
          <w:color w:val="000000"/>
          <w:sz w:val="20"/>
        </w:rPr>
      </w:pPr>
      <w:r>
        <w:rPr>
          <w:rFonts w:ascii="Arial" w:hAnsi="Arial"/>
          <w:color w:val="000000"/>
          <w:sz w:val="20"/>
        </w:rPr>
        <w:t>In this report, unless the context requires otherwise, all references to “we,” “our,” “us,” “Paymentus,” and the “Company” refer to Paymentus Holdings, Inc., and where appropriate its consolidated subsidiaries.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spacing w:before="60" w:after="283"/>
        <w:jc w:val="center"/>
        <w:rPr>
          <w:rFonts w:ascii="Times New Roman" w:hAnsi="Times New Roman"/>
          <w:sz w:val="20"/>
        </w:rPr>
      </w:pPr>
      <w:bookmarkStart w:id="5" w:name="balancesheet"/>
      <w:bookmarkEnd w:id="5"/>
      <w:r>
        <w:rPr>
          <w:rFonts w:ascii="Arial" w:hAnsi="Arial"/>
          <w:b/>
          <w:color w:val="000000"/>
          <w:sz w:val="20"/>
        </w:rPr>
        <w:t>PAYMENTUS</w:t>
      </w:r>
      <w:r>
        <w:rPr>
          <w:rFonts w:ascii="Times New Roman" w:hAnsi="Times New Roman"/>
          <w:color w:val="000000"/>
          <w:sz w:val="20"/>
        </w:rPr>
        <w:t xml:space="preserve"> </w:t>
      </w:r>
      <w:r>
        <w:rPr>
          <w:rFonts w:ascii="Arial" w:hAnsi="Arial"/>
          <w:b/>
          <w:color w:val="000000"/>
          <w:sz w:val="20"/>
        </w:rPr>
        <w:t>HOLDINGS, INC.</w:t>
      </w:r>
    </w:p>
    <w:p>
      <w:pPr>
        <w:pStyle w:val="TextBody"/>
        <w:bidi w:val="0"/>
        <w:jc w:val="center"/>
        <w:rPr>
          <w:rFonts w:ascii="Times New Roman" w:hAnsi="Times New Roman"/>
          <w:sz w:val="20"/>
        </w:rPr>
      </w:pPr>
      <w:bookmarkStart w:id="6" w:name="condensed_consolidated_balance_sheets_un"/>
      <w:bookmarkEnd w:id="6"/>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4"/>
        <w:gridCol w:w="146"/>
        <w:gridCol w:w="211"/>
        <w:gridCol w:w="796"/>
        <w:gridCol w:w="146"/>
        <w:gridCol w:w="146"/>
        <w:gridCol w:w="233"/>
        <w:gridCol w:w="881"/>
        <w:gridCol w:w="752"/>
      </w:tblGrid>
      <w:tr>
        <w:trPr/>
        <w:tc>
          <w:tcPr>
            <w:tcW w:w="6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68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center"/>
              <w:rPr/>
            </w:pPr>
            <w:r>
              <w:rPr/>
              <w:t> </w:t>
            </w:r>
          </w:p>
        </w:tc>
        <w:tc>
          <w:tcPr>
            <w:tcW w:w="752" w:type="dxa"/>
            <w:tcBorders/>
            <w:shd w:fill="CFF0FC" w:val="clear"/>
            <w:vAlign w:val="center"/>
          </w:tcPr>
          <w:p>
            <w:pPr>
              <w:pStyle w:val="TableContents"/>
              <w:bidi w:val="0"/>
              <w:spacing w:before="0" w:after="283"/>
              <w:jc w:val="center"/>
              <w:rPr/>
            </w:pPr>
            <w:r>
              <w:rPr/>
              <w:t> </w:t>
            </w:r>
          </w:p>
        </w:tc>
      </w:tr>
      <w:tr>
        <w:trPr/>
        <w:tc>
          <w:tcPr>
            <w:tcW w:w="6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179,361</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3,834</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Accounts and other receivables, net of allowance for expected credit losses of $449</w:t>
            </w:r>
            <w:r>
              <w:rPr>
                <w:rFonts w:ascii="Times New Roman" w:hAnsi="Times New Roman"/>
                <w:color w:val="000000"/>
                <w:sz w:val="20"/>
              </w:rPr>
              <w:t> </w:t>
            </w:r>
            <w:r>
              <w:rPr>
                <w:rFonts w:ascii="Arial" w:hAnsi="Arial"/>
                <w:color w:val="000000"/>
                <w:sz w:val="20"/>
              </w:rPr>
              <w:t>and $435,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76,389</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10,505</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294,196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270,348</w:t>
            </w:r>
          </w:p>
        </w:tc>
        <w:tc>
          <w:tcPr>
            <w:tcW w:w="752" w:type="dxa"/>
            <w:tcBorders/>
            <w:shd w:fill="FFFFFF" w:val="cle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752" w:type="dxa"/>
            <w:tcBorders/>
            <w:shd w:fill="CFF0FC"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Capitalized internal-use software development costs,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58,787</w:t>
            </w:r>
          </w:p>
        </w:tc>
        <w:tc>
          <w:tcPr>
            <w:tcW w:w="752" w:type="dxa"/>
            <w:tcBorders/>
            <w:shd w:fill="FFFFFF" w:val="cle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27,158</w:t>
            </w:r>
          </w:p>
        </w:tc>
        <w:tc>
          <w:tcPr>
            <w:tcW w:w="752" w:type="dxa"/>
            <w:tcBorders/>
            <w:shd w:fill="CFF0FC"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131,860</w:t>
            </w:r>
          </w:p>
        </w:tc>
        <w:tc>
          <w:tcPr>
            <w:tcW w:w="752" w:type="dxa"/>
            <w:tcBorders/>
            <w:shd w:fill="FFFFFF" w:val="cle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10,027</w:t>
            </w:r>
          </w:p>
        </w:tc>
        <w:tc>
          <w:tcPr>
            <w:tcW w:w="752" w:type="dxa"/>
            <w:tcBorders/>
            <w:shd w:fill="CFF0FC"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752" w:type="dxa"/>
            <w:tcBorders/>
            <w:shd w:fill="FFFFFF" w:val="cle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5,031</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504,863</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752" w:type="dxa"/>
            <w:tcBorders/>
            <w:shd w:fill="CFF0FC" w:val="clear"/>
            <w:vAlign w:val="center"/>
          </w:tcPr>
          <w:p>
            <w:pPr>
              <w:pStyle w:val="TableContents"/>
              <w:bidi w:val="0"/>
              <w:spacing w:before="0" w:after="283"/>
              <w:jc w:val="right"/>
              <w:rPr/>
            </w:pPr>
            <w:r>
              <w:rPr/>
              <w:t> </w:t>
            </w:r>
          </w:p>
        </w:tc>
      </w:tr>
      <w:tr>
        <w:trPr/>
        <w:tc>
          <w:tcPr>
            <w:tcW w:w="6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752" w:type="dxa"/>
            <w:tcBorders/>
            <w:shd w:fill="FFFFFF" w:val="clear"/>
            <w:vAlign w:val="center"/>
          </w:tcPr>
          <w:p>
            <w:pPr>
              <w:pStyle w:val="TableContents"/>
              <w:bidi w:val="0"/>
              <w:spacing w:before="0" w:after="283"/>
              <w:ind w:left="0" w:right="0" w:firstLine="280"/>
              <w:jc w:val="righ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35,182</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21,301</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1,853</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payable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62,788</w:t>
            </w:r>
          </w:p>
        </w:tc>
        <w:tc>
          <w:tcPr>
            <w:tcW w:w="752" w:type="dxa"/>
            <w:tcBorders/>
            <w:shd w:fill="FFFFFF" w:val="cle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1,067</w:t>
            </w:r>
          </w:p>
        </w:tc>
        <w:tc>
          <w:tcPr>
            <w:tcW w:w="752" w:type="dxa"/>
            <w:tcBorders/>
            <w:shd w:fill="CFF0FC"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8,661</w:t>
            </w:r>
          </w:p>
        </w:tc>
        <w:tc>
          <w:tcPr>
            <w:tcW w:w="752" w:type="dxa"/>
            <w:tcBorders/>
            <w:shd w:fill="FFFFFF" w:val="cle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75,247</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752" w:type="dxa"/>
            <w:tcBorders/>
            <w:shd w:fill="CFF0FC" w:val="clear"/>
            <w:vAlign w:val="center"/>
          </w:tcPr>
          <w:p>
            <w:pPr>
              <w:pStyle w:val="TableContents"/>
              <w:bidi w:val="0"/>
              <w:spacing w:before="0" w:after="283"/>
              <w:ind w:left="0" w:right="0" w:firstLine="280"/>
              <w:jc w:val="righ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per share, 5,000,000</w:t>
            </w:r>
            <w:r>
              <w:rPr>
                <w:rFonts w:ascii="Times New Roman" w:hAnsi="Times New Roman"/>
                <w:color w:val="000000"/>
                <w:sz w:val="20"/>
              </w:rPr>
              <w:t> </w:t>
            </w:r>
            <w:r>
              <w:rPr>
                <w:rFonts w:ascii="Arial" w:hAnsi="Arial"/>
                <w:color w:val="000000"/>
                <w:sz w:val="20"/>
              </w:rPr>
              <w:t>shares authorized as of June 30, 2024 and December 31, 2023; none</w:t>
            </w:r>
            <w:r>
              <w:rPr>
                <w:rFonts w:ascii="Times New Roman" w:hAnsi="Times New Roman"/>
                <w:color w:val="000000"/>
                <w:sz w:val="20"/>
              </w:rPr>
              <w:t> </w:t>
            </w:r>
            <w:r>
              <w:rPr>
                <w:rFonts w:ascii="Arial" w:hAnsi="Arial"/>
                <w:color w:val="000000"/>
                <w:sz w:val="20"/>
              </w:rPr>
              <w:t>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Class A common stock, $0.0001</w:t>
            </w:r>
            <w:r>
              <w:rPr>
                <w:rFonts w:ascii="Times New Roman" w:hAnsi="Times New Roman"/>
                <w:color w:val="000000"/>
                <w:sz w:val="20"/>
              </w:rPr>
              <w:t> </w:t>
            </w:r>
            <w:r>
              <w:rPr>
                <w:rFonts w:ascii="Arial" w:hAnsi="Arial"/>
                <w:color w:val="000000"/>
                <w:sz w:val="20"/>
              </w:rPr>
              <w:t>par value per share, 883,950,000</w:t>
            </w:r>
            <w:r>
              <w:rPr>
                <w:rFonts w:ascii="Times New Roman" w:hAnsi="Times New Roman"/>
                <w:color w:val="000000"/>
                <w:sz w:val="20"/>
              </w:rPr>
              <w:t> </w:t>
            </w:r>
            <w:r>
              <w:rPr>
                <w:rFonts w:ascii="Arial" w:hAnsi="Arial"/>
                <w:color w:val="000000"/>
                <w:sz w:val="20"/>
              </w:rPr>
              <w:t>shares authorized as of June 30, 2024 and December 31, 2023; 22,346,669</w:t>
            </w:r>
            <w:r>
              <w:rPr>
                <w:rFonts w:ascii="Times New Roman" w:hAnsi="Times New Roman"/>
                <w:color w:val="000000"/>
                <w:sz w:val="20"/>
              </w:rPr>
              <w:t> </w:t>
            </w:r>
            <w:r>
              <w:rPr>
                <w:rFonts w:ascii="Arial" w:hAnsi="Arial"/>
                <w:color w:val="000000"/>
                <w:sz w:val="20"/>
              </w:rPr>
              <w:t>and 20,758,603</w:t>
            </w:r>
            <w:r>
              <w:rPr>
                <w:rFonts w:ascii="Times New Roman" w:hAnsi="Times New Roman"/>
                <w:color w:val="000000"/>
                <w:sz w:val="20"/>
              </w:rPr>
              <w:t> </w:t>
            </w:r>
            <w:r>
              <w:rPr>
                <w:rFonts w:ascii="Arial" w:hAnsi="Arial"/>
                <w:color w:val="000000"/>
                <w:sz w:val="20"/>
              </w:rPr>
              <w:t>shares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Class B common stock, $0.0001</w:t>
            </w:r>
            <w:r>
              <w:rPr>
                <w:rFonts w:ascii="Times New Roman" w:hAnsi="Times New Roman"/>
                <w:color w:val="000000"/>
                <w:sz w:val="20"/>
              </w:rPr>
              <w:t> </w:t>
            </w:r>
            <w:r>
              <w:rPr>
                <w:rFonts w:ascii="Arial" w:hAnsi="Arial"/>
                <w:color w:val="000000"/>
                <w:sz w:val="20"/>
              </w:rPr>
              <w:t>par value per share, 111,050,000</w:t>
            </w:r>
            <w:r>
              <w:rPr>
                <w:rFonts w:ascii="Times New Roman" w:hAnsi="Times New Roman"/>
                <w:color w:val="000000"/>
                <w:sz w:val="20"/>
              </w:rPr>
              <w:t> </w:t>
            </w:r>
            <w:r>
              <w:rPr>
                <w:rFonts w:ascii="Arial" w:hAnsi="Arial"/>
                <w:color w:val="000000"/>
                <w:sz w:val="20"/>
              </w:rPr>
              <w:t>shares authorized as of June 30, 2024 and December 31, 2023; 102,127,810</w:t>
            </w:r>
            <w:r>
              <w:rPr>
                <w:rFonts w:ascii="Times New Roman" w:hAnsi="Times New Roman"/>
                <w:color w:val="000000"/>
                <w:sz w:val="20"/>
              </w:rPr>
              <w:t> </w:t>
            </w:r>
            <w:r>
              <w:rPr>
                <w:rFonts w:ascii="Arial" w:hAnsi="Arial"/>
                <w:color w:val="000000"/>
                <w:sz w:val="20"/>
              </w:rPr>
              <w:t>and 103,062,508</w:t>
            </w:r>
            <w:r>
              <w:rPr>
                <w:rFonts w:ascii="Times New Roman" w:hAnsi="Times New Roman"/>
                <w:color w:val="000000"/>
                <w:sz w:val="20"/>
              </w:rPr>
              <w:t> </w:t>
            </w:r>
            <w:r>
              <w:rPr>
                <w:rFonts w:ascii="Arial" w:hAnsi="Arial"/>
                <w:color w:val="000000"/>
                <w:sz w:val="20"/>
              </w:rPr>
              <w:t>shares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383,276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377,773</w:t>
            </w:r>
          </w:p>
        </w:tc>
        <w:tc>
          <w:tcPr>
            <w:tcW w:w="752" w:type="dxa"/>
            <w:tcBorders/>
            <w:shd w:fill="CFF0FC" w:val="clear"/>
            <w:vAlign w:val="center"/>
          </w:tcPr>
          <w:p>
            <w:pPr>
              <w:pStyle w:val="TableContents"/>
              <w:bidi w:val="0"/>
              <w:spacing w:before="0" w:after="283"/>
              <w:ind w:left="0" w:right="0" w:firstLine="280"/>
              <w:jc w:val="left"/>
              <w:rPr/>
            </w:pPr>
            <w:r>
              <w:rPr/>
              <w:t> </w:t>
            </w:r>
          </w:p>
        </w:tc>
      </w:tr>
      <w:tr>
        <w:trPr/>
        <w:tc>
          <w:tcPr>
            <w:tcW w:w="68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752" w:type="dxa"/>
            <w:tcBorders/>
            <w:shd w:fill="FFFFFF" w:val="clear"/>
            <w:vAlign w:val="center"/>
          </w:tcPr>
          <w:p>
            <w:pPr>
              <w:pStyle w:val="TableContents"/>
              <w:bidi w:val="0"/>
              <w:spacing w:before="0" w:after="283"/>
              <w:ind w:left="0" w:right="0" w:firstLine="280"/>
              <w:jc w:val="left"/>
              <w:rPr/>
            </w:pPr>
            <w:r>
              <w:rPr/>
              <w:t> </w:t>
            </w:r>
          </w:p>
        </w:tc>
      </w:tr>
      <w:tr>
        <w:trPr/>
        <w:tc>
          <w:tcPr>
            <w:tcW w:w="68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51,744</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429,616</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9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504,863</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Times New Roman" w:hAnsi="Times New Roman"/>
          <w:sz w:val="20"/>
        </w:rPr>
      </w:pPr>
      <w:bookmarkStart w:id="7" w:name="statements_of_operations"/>
      <w:bookmarkEnd w:id="7"/>
      <w:r>
        <w:rPr>
          <w:rFonts w:ascii="Arial" w:hAnsi="Arial"/>
          <w:b/>
          <w:color w:val="000000"/>
          <w:sz w:val="20"/>
        </w:rPr>
        <w:t>CONDENSED CONSOLIDATED STATEME</w:t>
      </w:r>
      <w:bookmarkStart w:id="8" w:name="condensed_consolidated_statements_operat"/>
      <w:bookmarkEnd w:id="8"/>
      <w:r>
        <w:rPr>
          <w:rFonts w:ascii="Arial" w:hAnsi="Arial"/>
          <w:b/>
          <w:color w:val="000000"/>
          <w:sz w:val="20"/>
        </w:rPr>
        <w:t>NTS OF OPERATIONS AND COMPREHENSIVE INCOME</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4"/>
        <w:gridCol w:w="426"/>
        <w:gridCol w:w="211"/>
        <w:gridCol w:w="1171"/>
        <w:gridCol w:w="166"/>
        <w:gridCol w:w="146"/>
        <w:gridCol w:w="211"/>
        <w:gridCol w:w="1171"/>
        <w:gridCol w:w="426"/>
        <w:gridCol w:w="426"/>
        <w:gridCol w:w="211"/>
        <w:gridCol w:w="1171"/>
        <w:gridCol w:w="166"/>
        <w:gridCol w:w="146"/>
        <w:gridCol w:w="211"/>
        <w:gridCol w:w="1171"/>
        <w:gridCol w:w="771"/>
      </w:tblGrid>
      <w:tr>
        <w:trPr/>
        <w:tc>
          <w:tcPr>
            <w:tcW w:w="20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00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148,939</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382,297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297,267</w:t>
            </w:r>
          </w:p>
        </w:tc>
        <w:tc>
          <w:tcPr>
            <w:tcW w:w="771" w:type="dxa"/>
            <w:tcBorders/>
            <w:shd w:fill="CFF0FC" w:val="clear"/>
            <w:vAlign w:val="center"/>
          </w:tcPr>
          <w:p>
            <w:pPr>
              <w:pStyle w:val="TableContents"/>
              <w:bidi w:val="0"/>
              <w:spacing w:before="0" w:after="283"/>
              <w:jc w:val="left"/>
              <w:rPr/>
            </w:pPr>
            <w:r>
              <w:rPr/>
              <w:t> </w:t>
            </w:r>
          </w:p>
        </w:tc>
      </w:tr>
      <w:tr>
        <w:trPr/>
        <w:tc>
          <w:tcPr>
            <w:tcW w:w="200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103,077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211,327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0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45,862</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85,940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200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12,535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10,907</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22,560</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200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Sales and marketing</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21,599</w:t>
            </w:r>
          </w:p>
        </w:tc>
        <w:tc>
          <w:tcPr>
            <w:tcW w:w="42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41,863</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200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00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82,298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00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Income from operations</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4,626</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3,642</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200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 net</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1,658</w:t>
            </w:r>
          </w:p>
        </w:tc>
        <w:tc>
          <w:tcPr>
            <w:tcW w:w="42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3,098</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200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 (expense)</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00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Income before income taxes</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6,277</w:t>
            </w:r>
          </w:p>
        </w:tc>
        <w:tc>
          <w:tcPr>
            <w:tcW w:w="42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6,725</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200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Provision for income taxes</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00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income</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6,543</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04"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per share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ind w:left="0" w:right="0" w:firstLine="560"/>
              <w:jc w:val="left"/>
              <w:rPr/>
            </w:pPr>
            <w:r>
              <w:rPr/>
              <w:t> </w:t>
            </w:r>
          </w:p>
        </w:tc>
      </w:tr>
      <w:tr>
        <w:trPr/>
        <w:tc>
          <w:tcPr>
            <w:tcW w:w="200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771" w:type="dxa"/>
            <w:tcBorders/>
            <w:shd w:fill="FFFFFF" w:val="clear"/>
            <w:vAlign w:val="center"/>
          </w:tcPr>
          <w:p>
            <w:pPr>
              <w:pStyle w:val="TableContents"/>
              <w:bidi w:val="0"/>
              <w:spacing w:before="0" w:after="283"/>
              <w:ind w:left="0" w:right="0" w:firstLine="560"/>
              <w:jc w:val="left"/>
              <w:rPr/>
            </w:pPr>
            <w:r>
              <w:rPr/>
              <w:t> </w:t>
            </w:r>
          </w:p>
        </w:tc>
      </w:tr>
      <w:tr>
        <w:trPr/>
        <w:tc>
          <w:tcPr>
            <w:tcW w:w="2004"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200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number of shares used to compute net income per share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ind w:left="0" w:right="0" w:firstLine="560"/>
              <w:jc w:val="left"/>
              <w:rPr/>
            </w:pPr>
            <w:r>
              <w:rPr/>
              <w:t> </w:t>
            </w:r>
          </w:p>
        </w:tc>
      </w:tr>
      <w:tr>
        <w:trPr/>
        <w:tc>
          <w:tcPr>
            <w:tcW w:w="2004"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124,264,789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123,378,128</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124,106,046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123,334,277</w:t>
            </w:r>
          </w:p>
        </w:tc>
        <w:tc>
          <w:tcPr>
            <w:tcW w:w="771" w:type="dxa"/>
            <w:tcBorders/>
            <w:shd w:fill="CFF0FC" w:val="clear"/>
            <w:vAlign w:val="center"/>
          </w:tcPr>
          <w:p>
            <w:pPr>
              <w:pStyle w:val="TableContents"/>
              <w:bidi w:val="0"/>
              <w:spacing w:before="0" w:after="283"/>
              <w:ind w:left="0" w:right="0" w:firstLine="560"/>
              <w:jc w:val="left"/>
              <w:rPr/>
            </w:pPr>
            <w:r>
              <w:rPr/>
              <w:t> </w:t>
            </w:r>
          </w:p>
        </w:tc>
      </w:tr>
      <w:tr>
        <w:trPr/>
        <w:tc>
          <w:tcPr>
            <w:tcW w:w="200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127,252,366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124,012,107</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127,074,921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123,836,815</w:t>
            </w:r>
          </w:p>
        </w:tc>
        <w:tc>
          <w:tcPr>
            <w:tcW w:w="771" w:type="dxa"/>
            <w:tcBorders/>
            <w:shd w:fill="FFFFFF" w:val="clear"/>
            <w:vAlign w:val="center"/>
          </w:tcPr>
          <w:p>
            <w:pPr>
              <w:pStyle w:val="TableContents"/>
              <w:bidi w:val="0"/>
              <w:spacing w:before="0" w:after="283"/>
              <w:jc w:val="left"/>
              <w:rPr/>
            </w:pPr>
            <w:r>
              <w:rPr/>
              <w:t> </w:t>
            </w:r>
          </w:p>
        </w:tc>
      </w:tr>
      <w:tr>
        <w:trPr/>
        <w:tc>
          <w:tcPr>
            <w:tcW w:w="2004" w:type="dxa"/>
            <w:tcBorders/>
            <w:shd w:fill="CFF0FC" w:val="cle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Comprehensive income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ind w:left="0" w:right="0" w:firstLine="560"/>
              <w:jc w:val="left"/>
              <w:rPr/>
            </w:pPr>
            <w:r>
              <w:rPr/>
              <w:t> </w:t>
            </w:r>
          </w:p>
        </w:tc>
      </w:tr>
      <w:tr>
        <w:trPr/>
        <w:tc>
          <w:tcPr>
            <w:tcW w:w="200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6,543</w:t>
            </w:r>
          </w:p>
        </w:tc>
        <w:tc>
          <w:tcPr>
            <w:tcW w:w="771" w:type="dxa"/>
            <w:tcBorders/>
            <w:shd w:fill="FFFFFF" w:val="clear"/>
            <w:vAlign w:val="center"/>
          </w:tcPr>
          <w:p>
            <w:pPr>
              <w:pStyle w:val="TableContents"/>
              <w:bidi w:val="0"/>
              <w:spacing w:before="0" w:after="283"/>
              <w:ind w:left="0" w:right="0" w:firstLine="560"/>
              <w:jc w:val="left"/>
              <w:rPr/>
            </w:pPr>
            <w:r>
              <w:rPr/>
              <w:t> </w:t>
            </w:r>
          </w:p>
        </w:tc>
      </w:tr>
      <w:tr>
        <w:trPr/>
        <w:tc>
          <w:tcPr>
            <w:tcW w:w="2004"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adjustments, net of tax</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00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Comprehensive income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5,932</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6,629</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9" w:name="stockhlders_equity_qtd"/>
      <w:bookmarkEnd w:id="9"/>
      <w:r>
        <w:rPr>
          <w:rFonts w:ascii="Arial" w:hAnsi="Arial"/>
          <w:b/>
          <w:color w:val="000000"/>
          <w:sz w:val="20"/>
        </w:rPr>
        <w:t>PAYMENTUS HOLDINGS, INC.</w:t>
      </w:r>
    </w:p>
    <w:p>
      <w:pPr>
        <w:pStyle w:val="TextBody"/>
        <w:bidi w:val="0"/>
        <w:jc w:val="center"/>
        <w:rPr>
          <w:rFonts w:ascii="Arial" w:hAnsi="Arial"/>
          <w:b/>
          <w:color w:val="000000"/>
          <w:sz w:val="20"/>
        </w:rPr>
      </w:pPr>
      <w:bookmarkStart w:id="10" w:name="condensed_consolidated_statements_stockh"/>
      <w:bookmarkEnd w:id="10"/>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165"/>
        <w:gridCol w:w="146"/>
        <w:gridCol w:w="1171"/>
        <w:gridCol w:w="146"/>
        <w:gridCol w:w="318"/>
        <w:gridCol w:w="523"/>
        <w:gridCol w:w="146"/>
        <w:gridCol w:w="223"/>
        <w:gridCol w:w="843"/>
        <w:gridCol w:w="146"/>
        <w:gridCol w:w="221"/>
        <w:gridCol w:w="725"/>
        <w:gridCol w:w="146"/>
        <w:gridCol w:w="560"/>
        <w:gridCol w:w="1001"/>
        <w:gridCol w:w="166"/>
        <w:gridCol w:w="281"/>
        <w:gridCol w:w="1065"/>
        <w:gridCol w:w="213"/>
      </w:tblGrid>
      <w:tr>
        <w:trPr/>
        <w:tc>
          <w:tcPr>
            <w:tcW w:w="2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w:t>
            </w:r>
          </w:p>
        </w:tc>
        <w:tc>
          <w:tcPr>
            <w:tcW w:w="146" w:type="dxa"/>
            <w:tcBorders/>
            <w:shd w:fill="FFFFFF" w:val="clear"/>
            <w:vAlign w:val="center"/>
          </w:tcPr>
          <w:p>
            <w:pPr>
              <w:pStyle w:val="TableContents"/>
              <w:bidi w:val="0"/>
              <w:spacing w:before="0" w:after="283"/>
              <w:jc w:val="center"/>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Comprehensive</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123,821,111</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377,773</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51,744</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429,616</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2,484</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2,484</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304,865</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124,125,976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439,384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348,503</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124,474,479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451,627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165"/>
        <w:gridCol w:w="146"/>
        <w:gridCol w:w="1171"/>
        <w:gridCol w:w="146"/>
        <w:gridCol w:w="318"/>
        <w:gridCol w:w="523"/>
        <w:gridCol w:w="146"/>
        <w:gridCol w:w="223"/>
        <w:gridCol w:w="843"/>
        <w:gridCol w:w="146"/>
        <w:gridCol w:w="221"/>
        <w:gridCol w:w="725"/>
        <w:gridCol w:w="146"/>
        <w:gridCol w:w="560"/>
        <w:gridCol w:w="1001"/>
        <w:gridCol w:w="166"/>
        <w:gridCol w:w="281"/>
        <w:gridCol w:w="1065"/>
        <w:gridCol w:w="213"/>
      </w:tblGrid>
      <w:tr>
        <w:trPr/>
        <w:tc>
          <w:tcPr>
            <w:tcW w:w="2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23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w:t>
            </w:r>
          </w:p>
        </w:tc>
        <w:tc>
          <w:tcPr>
            <w:tcW w:w="146" w:type="dxa"/>
            <w:tcBorders/>
            <w:shd w:fill="FFFFFF" w:val="clear"/>
            <w:vAlign w:val="center"/>
          </w:tcPr>
          <w:p>
            <w:pPr>
              <w:pStyle w:val="TableContents"/>
              <w:bidi w:val="0"/>
              <w:spacing w:before="0" w:after="283"/>
              <w:jc w:val="center"/>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Comprehensive</w:t>
            </w:r>
          </w:p>
        </w:tc>
        <w:tc>
          <w:tcPr>
            <w:tcW w:w="166" w:type="dxa"/>
            <w:tcBorders/>
            <w:shd w:fill="FFFFFF" w:val="clear"/>
            <w:vAlign w:val="center"/>
          </w:tcPr>
          <w:p>
            <w:pPr>
              <w:pStyle w:val="TableContents"/>
              <w:bidi w:val="0"/>
              <w:spacing w:before="0" w:after="283"/>
              <w:jc w:val="center"/>
              <w:rPr/>
            </w:pPr>
            <w:r>
              <w:rPr/>
              <w:t> </w:t>
            </w:r>
          </w:p>
        </w:tc>
        <w:tc>
          <w:tcPr>
            <w:tcW w:w="13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123,241,173</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367,767</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29,422</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397,179</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2,159</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2,159</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104,991</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123,346,164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400,040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160,625</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213" w:type="dxa"/>
            <w:tcBorders/>
            <w:shd w:fill="FFFFFF" w:val="cle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213" w:type="dxa"/>
            <w:tcBorders/>
            <w:shd w:fill="CFF0FC"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123,506,789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408,444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bookmarkStart w:id="11" w:name="condensed_consolidated_statements_cash_f"/>
      <w:bookmarkEnd w:id="11"/>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680"/>
        <w:gridCol w:w="146"/>
        <w:gridCol w:w="236"/>
        <w:gridCol w:w="893"/>
        <w:gridCol w:w="185"/>
        <w:gridCol w:w="163"/>
        <w:gridCol w:w="236"/>
        <w:gridCol w:w="893"/>
        <w:gridCol w:w="773"/>
      </w:tblGrid>
      <w:tr>
        <w:trPr/>
        <w:tc>
          <w:tcPr>
            <w:tcW w:w="6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6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16,590</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6,543</w:t>
            </w:r>
          </w:p>
        </w:tc>
        <w:tc>
          <w:tcPr>
            <w:tcW w:w="773" w:type="dxa"/>
            <w:tcBorders/>
            <w:shd w:fill="FFFFFF" w:val="clear"/>
            <w:vAlign w:val="center"/>
          </w:tcPr>
          <w:p>
            <w:pPr>
              <w:pStyle w:val="TableContents"/>
              <w:bidi w:val="0"/>
              <w:spacing w:before="0" w:after="283"/>
              <w:jc w:val="left"/>
              <w:rPr/>
            </w:pPr>
            <w:r>
              <w:rPr/>
              <w:t> </w:t>
            </w:r>
          </w:p>
        </w:tc>
      </w:tr>
      <w:tr>
        <w:trPr/>
        <w:tc>
          <w:tcPr>
            <w:tcW w:w="66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ind w:left="0" w:right="0" w:firstLine="280"/>
              <w:jc w:val="righ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17,506</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14,542</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6,256</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4,435</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1,198</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contract asset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881</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1,441</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Provision for (benefit from) expected credit losses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77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non-cash adjustments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Change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ind w:left="0" w:right="0" w:firstLine="560"/>
              <w:jc w:val="right"/>
              <w:rPr/>
            </w:pPr>
            <w:r>
              <w:rPr/>
              <w:t> </w:t>
            </w:r>
          </w:p>
        </w:tc>
      </w:tr>
      <w:tr>
        <w:trPr/>
        <w:tc>
          <w:tcPr>
            <w:tcW w:w="66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and other receivables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(13,849</w:t>
            </w:r>
          </w:p>
        </w:tc>
        <w:tc>
          <w:tcPr>
            <w:tcW w:w="1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865</w:t>
            </w:r>
          </w:p>
        </w:tc>
        <w:tc>
          <w:tcPr>
            <w:tcW w:w="773" w:type="dxa"/>
            <w:tcBorders/>
            <w:shd w:fill="FFFFFF" w:val="clear"/>
            <w:vAlign w:val="center"/>
          </w:tcPr>
          <w:p>
            <w:pPr>
              <w:pStyle w:val="TableContents"/>
              <w:bidi w:val="0"/>
              <w:spacing w:before="0" w:after="283"/>
              <w:ind w:left="0" w:right="0" w:firstLine="560"/>
              <w:jc w:val="left"/>
              <w:rPr/>
            </w:pPr>
            <w:r>
              <w:rPr/>
              <w:t> </w:t>
            </w:r>
          </w:p>
        </w:tc>
      </w:tr>
      <w:tr>
        <w:trPr/>
        <w:tc>
          <w:tcPr>
            <w:tcW w:w="66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Prepaid expenses and other current and long-term assets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773" w:type="dxa"/>
            <w:tcBorders/>
            <w:shd w:fill="CFF0FC" w:val="clear"/>
            <w:vAlign w:val="center"/>
          </w:tcPr>
          <w:p>
            <w:pPr>
              <w:pStyle w:val="TableContents"/>
              <w:bidi w:val="0"/>
              <w:spacing w:before="0" w:after="283"/>
              <w:ind w:left="0" w:right="0" w:firstLine="560"/>
              <w:jc w:val="left"/>
              <w:rPr/>
            </w:pPr>
            <w:r>
              <w:rPr/>
              <w:t> </w:t>
            </w:r>
          </w:p>
        </w:tc>
      </w:tr>
      <w:tr>
        <w:trPr/>
        <w:tc>
          <w:tcPr>
            <w:tcW w:w="66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7,950</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1,350</w:t>
            </w:r>
          </w:p>
        </w:tc>
        <w:tc>
          <w:tcPr>
            <w:tcW w:w="773" w:type="dxa"/>
            <w:tcBorders/>
            <w:shd w:fill="FFFFFF" w:val="clear"/>
            <w:vAlign w:val="center"/>
          </w:tcPr>
          <w:p>
            <w:pPr>
              <w:pStyle w:val="TableContents"/>
              <w:bidi w:val="0"/>
              <w:spacing w:before="0" w:after="283"/>
              <w:ind w:left="0" w:right="0" w:firstLine="560"/>
              <w:jc w:val="left"/>
              <w:rPr/>
            </w:pPr>
            <w:r>
              <w:rPr/>
              <w:t> </w:t>
            </w:r>
          </w:p>
        </w:tc>
      </w:tr>
      <w:tr>
        <w:trPr/>
        <w:tc>
          <w:tcPr>
            <w:tcW w:w="66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(4,118</w:t>
            </w:r>
          </w:p>
        </w:tc>
        <w:tc>
          <w:tcPr>
            <w:tcW w:w="1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891</w:t>
            </w:r>
          </w:p>
        </w:tc>
        <w:tc>
          <w:tcPr>
            <w:tcW w:w="773" w:type="dxa"/>
            <w:tcBorders/>
            <w:shd w:fill="CFF0FC" w:val="clear"/>
            <w:vAlign w:val="center"/>
          </w:tcPr>
          <w:p>
            <w:pPr>
              <w:pStyle w:val="TableContents"/>
              <w:bidi w:val="0"/>
              <w:spacing w:before="0" w:after="283"/>
              <w:ind w:left="0" w:right="0" w:firstLine="560"/>
              <w:jc w:val="left"/>
              <w:rPr/>
            </w:pPr>
            <w:r>
              <w:rPr/>
              <w:t> </w:t>
            </w:r>
          </w:p>
        </w:tc>
      </w:tr>
      <w:tr>
        <w:trPr/>
        <w:tc>
          <w:tcPr>
            <w:tcW w:w="66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(1,073</w:t>
            </w:r>
          </w:p>
        </w:tc>
        <w:tc>
          <w:tcPr>
            <w:tcW w:w="1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773"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(1,053</w:t>
            </w:r>
          </w:p>
        </w:tc>
        <w:tc>
          <w:tcPr>
            <w:tcW w:w="1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1,857</w:t>
            </w:r>
          </w:p>
        </w:tc>
        <w:tc>
          <w:tcPr>
            <w:tcW w:w="773" w:type="dxa"/>
            <w:tcBorders/>
            <w:shd w:fill="CFF0FC" w:val="clear"/>
            <w:vAlign w:val="center"/>
          </w:tcPr>
          <w:p>
            <w:pPr>
              <w:pStyle w:val="TableContents"/>
              <w:bidi w:val="0"/>
              <w:spacing w:before="0" w:after="283"/>
              <w:ind w:left="0" w:right="0" w:firstLine="560"/>
              <w:jc w:val="left"/>
              <w:rPr/>
            </w:pPr>
            <w:r>
              <w:rPr/>
              <w:t> </w:t>
            </w:r>
          </w:p>
        </w:tc>
      </w:tr>
      <w:tr>
        <w:trPr/>
        <w:tc>
          <w:tcPr>
            <w:tcW w:w="66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Income taxes receivable, net of payable</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28,984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31,244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ind w:left="0" w:right="0" w:firstLine="280"/>
              <w:jc w:val="righ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77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 of interest-bearing deposits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1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matured interest-bearing deposits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1,190</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Capitalized internal-use software development costs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(18,362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(16,611</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(18,789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(16,964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8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ind w:left="0" w:right="0" w:firstLine="280"/>
              <w:jc w:val="righ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exercise of stock-based awards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Settlement of holdback liability related to prior acquisitions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18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on other financing obligations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(1,709</w:t>
            </w:r>
          </w:p>
        </w:tc>
        <w:tc>
          <w:tcPr>
            <w:tcW w:w="77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on finance leases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9,685</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12,783</w:t>
            </w:r>
          </w:p>
        </w:tc>
        <w:tc>
          <w:tcPr>
            <w:tcW w:w="773" w:type="dxa"/>
            <w:tcBorders/>
            <w:shd w:fill="CFF0FC"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183,195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149,685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192,880</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162,468</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Reconciliation of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ind w:left="0" w:right="0" w:firstLine="280"/>
              <w:jc w:val="righ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 at the beginning of period</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179,361</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147,334</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2,351</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beginning of period</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183,195</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149,685</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 at the end of period</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188,810</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159,068</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the end of period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192,880</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162,468</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ind w:left="0" w:right="0" w:firstLine="280"/>
              <w:jc w:val="right"/>
              <w:rPr/>
            </w:pPr>
            <w:r>
              <w:rPr/>
              <w:t> </w:t>
            </w:r>
          </w:p>
        </w:tc>
      </w:tr>
      <w:tr>
        <w:trPr/>
        <w:tc>
          <w:tcPr>
            <w:tcW w:w="668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paid for income taxes, net of refunds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7,746</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1,269</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68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Right-of-use assets obtained in exchange of operating lease obligations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1,356</w:t>
            </w:r>
          </w:p>
        </w:tc>
        <w:tc>
          <w:tcPr>
            <w:tcW w:w="773"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Times New Roman" w:hAnsi="Times New Roman"/>
          <w:sz w:val="20"/>
        </w:rPr>
      </w:pPr>
      <w:bookmarkStart w:id="12" w:name="notes_to_condensed_consolidated_financia"/>
      <w:bookmarkEnd w:id="12"/>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unless otherwise stated)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240" w:after="283"/>
        <w:jc w:val="both"/>
        <w:rPr>
          <w:rFonts w:ascii="Arial" w:hAnsi="Arial"/>
          <w:b/>
          <w:color w:val="000000"/>
          <w:sz w:val="20"/>
        </w:rPr>
      </w:pPr>
      <w:r>
        <w:rPr>
          <w:rFonts w:ascii="Arial" w:hAnsi="Arial"/>
          <w:b/>
          <w:color w:val="000000"/>
          <w:sz w:val="20"/>
        </w:rPr>
        <w:t>1. Organization and Description of Business</w:t>
      </w:r>
    </w:p>
    <w:p>
      <w:pPr>
        <w:pStyle w:val="TextBody"/>
        <w:bidi w:val="0"/>
        <w:spacing w:before="120" w:after="283"/>
        <w:jc w:val="both"/>
        <w:rPr>
          <w:rFonts w:ascii="Arial" w:hAnsi="Arial"/>
          <w:b/>
          <w:i/>
          <w:color w:val="000000"/>
          <w:sz w:val="20"/>
        </w:rPr>
      </w:pPr>
      <w:r>
        <w:rPr>
          <w:rFonts w:ascii="Arial" w:hAnsi="Arial"/>
          <w:b/>
          <w:i/>
          <w:color w:val="000000"/>
          <w:sz w:val="20"/>
        </w:rPr>
        <w:t>Description of Business</w:t>
      </w:r>
    </w:p>
    <w:p>
      <w:pPr>
        <w:pStyle w:val="TextBody"/>
        <w:bidi w:val="0"/>
        <w:spacing w:before="120" w:after="283"/>
        <w:jc w:val="both"/>
        <w:rPr>
          <w:rFonts w:ascii="Arial" w:hAnsi="Arial"/>
          <w:color w:val="000000"/>
          <w:sz w:val="20"/>
        </w:rPr>
      </w:pPr>
      <w:r>
        <w:rPr>
          <w:rFonts w:ascii="Arial" w:hAnsi="Arial"/>
          <w:color w:val="000000"/>
          <w:sz w:val="20"/>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Richmond Hill, Ontario (Canada), and Delhi and Bangalore (India). The Company is headquartered in Charlotte, North Carolina.</w:t>
      </w:r>
    </w:p>
    <w:p>
      <w:pPr>
        <w:pStyle w:val="TextBody"/>
        <w:bidi w:val="0"/>
        <w:spacing w:before="240" w:after="283"/>
        <w:jc w:val="left"/>
        <w:rPr>
          <w:rFonts w:ascii="Arial" w:hAnsi="Arial"/>
          <w:b/>
          <w:color w:val="000000"/>
          <w:sz w:val="20"/>
        </w:rPr>
      </w:pPr>
      <w:r>
        <w:rPr>
          <w:rFonts w:ascii="Arial" w:hAnsi="Arial"/>
          <w:b/>
          <w:color w:val="000000"/>
          <w:sz w:val="20"/>
        </w:rPr>
        <w:t>2. Basis of Presentation and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2023 filed with the SEC on March 5, 2024 (the “2023 Form 10-K”).</w:t>
      </w:r>
    </w:p>
    <w:p>
      <w:pPr>
        <w:pStyle w:val="TextBody"/>
        <w:bidi w:val="0"/>
        <w:spacing w:before="120" w:after="283"/>
        <w:jc w:val="both"/>
        <w:rPr>
          <w:rFonts w:ascii="Times New Roman" w:hAnsi="Times New Roman"/>
          <w:sz w:val="20"/>
        </w:rPr>
      </w:pPr>
      <w:r>
        <w:rPr>
          <w:rFonts w:ascii="Arial" w:hAnsi="Arial"/>
          <w:color w:val="000000"/>
          <w:sz w:val="20"/>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and six months ended June 30, 2024 and 2023 are not necessarily indicative of the results to be expected for the full year or any other future interim or annual period.</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Principles of Consolidation</w:t>
      </w:r>
    </w:p>
    <w:p>
      <w:pPr>
        <w:pStyle w:val="TextBody"/>
        <w:bidi w:val="0"/>
        <w:spacing w:before="120" w:after="283"/>
        <w:jc w:val="both"/>
        <w:rPr>
          <w:rFonts w:ascii="Times New Roman" w:hAnsi="Times New Roman"/>
          <w:sz w:val="20"/>
        </w:rPr>
      </w:pPr>
      <w:r>
        <w:rPr>
          <w:rFonts w:ascii="Arial" w:hAnsi="Arial"/>
          <w:color w:val="000000"/>
          <w:sz w:val="20"/>
        </w:rPr>
        <w:t>The unaudited interim condensed consolidated financial statements include the accounts of the Company and its wholly owned subsidiaries. All intercompany accounts and balances have been eliminated upon consolidation.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condensed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pStyle w:val="TextBody"/>
        <w:bidi w:val="0"/>
        <w:spacing w:before="120" w:after="283"/>
        <w:jc w:val="both"/>
        <w:rPr>
          <w:rFonts w:ascii="Arial" w:hAnsi="Arial"/>
          <w:b/>
          <w:i/>
          <w:color w:val="000000"/>
          <w:sz w:val="20"/>
        </w:rPr>
      </w:pPr>
      <w:r>
        <w:rPr>
          <w:rFonts w:ascii="Arial" w:hAnsi="Arial"/>
          <w:b/>
          <w:i/>
          <w:color w:val="000000"/>
          <w:sz w:val="20"/>
        </w:rPr>
        <w:t>Custodial Accounts</w:t>
      </w:r>
    </w:p>
    <w:p>
      <w:pPr>
        <w:pStyle w:val="TextBody"/>
        <w:bidi w:val="0"/>
        <w:spacing w:before="120" w:after="283"/>
        <w:jc w:val="both"/>
        <w:rPr>
          <w:rFonts w:ascii="Times New Roman" w:hAnsi="Times New Roman"/>
          <w:sz w:val="20"/>
        </w:rPr>
      </w:pPr>
      <w:r>
        <w:rPr>
          <w:rFonts w:ascii="Arial" w:hAnsi="Arial"/>
          <w:color w:val="000000"/>
          <w:sz w:val="20"/>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$483.1</w:t>
      </w:r>
      <w:r>
        <w:rPr>
          <w:rFonts w:ascii="Times New Roman" w:hAnsi="Times New Roman"/>
          <w:color w:val="000000"/>
          <w:sz w:val="20"/>
        </w:rPr>
        <w:t xml:space="preserve"> </w:t>
      </w:r>
      <w:r>
        <w:rPr>
          <w:rFonts w:ascii="Arial" w:hAnsi="Arial"/>
          <w:color w:val="000000"/>
          <w:sz w:val="20"/>
        </w:rPr>
        <w:t>million and $510.8</w:t>
      </w:r>
      <w:r>
        <w:rPr>
          <w:rFonts w:ascii="Times New Roman" w:hAnsi="Times New Roman"/>
          <w:color w:val="000000"/>
          <w:sz w:val="20"/>
        </w:rPr>
        <w:t xml:space="preserve"> </w:t>
      </w:r>
      <w:r>
        <w:rPr>
          <w:rFonts w:ascii="Arial" w:hAnsi="Arial"/>
          <w:color w:val="000000"/>
          <w:sz w:val="20"/>
        </w:rPr>
        <w:t>million as</w:t>
      </w:r>
      <w:r>
        <w:rPr>
          <w:rFonts w:ascii="Times New Roman" w:hAnsi="Times New Roman"/>
          <w:color w:val="000000"/>
          <w:sz w:val="20"/>
        </w:rPr>
        <w:t xml:space="preserve"> </w:t>
      </w:r>
      <w:r>
        <w:rPr>
          <w:rFonts w:ascii="Arial" w:hAnsi="Arial"/>
          <w:color w:val="000000"/>
          <w:sz w:val="20"/>
        </w:rPr>
        <w:t>of June 30, 2024 and December 31, 2023, respectively.</w:t>
      </w:r>
    </w:p>
    <w:p>
      <w:pPr>
        <w:pStyle w:val="TextBody"/>
        <w:bidi w:val="0"/>
        <w:spacing w:before="12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i/>
          <w:color w:val="000000"/>
          <w:sz w:val="20"/>
        </w:rPr>
      </w:pPr>
      <w:r>
        <w:rPr>
          <w:rFonts w:ascii="Arial" w:hAnsi="Arial"/>
          <w:b/>
          <w:i/>
          <w:color w:val="000000"/>
          <w:sz w:val="20"/>
        </w:rPr>
        <w:t>Concentration of Credit Risk</w:t>
      </w:r>
    </w:p>
    <w:p>
      <w:pPr>
        <w:pStyle w:val="TextBody"/>
        <w:bidi w:val="0"/>
        <w:spacing w:before="120" w:after="283"/>
        <w:jc w:val="both"/>
        <w:rPr>
          <w:rFonts w:ascii="Times New Roman" w:hAnsi="Times New Roman"/>
          <w:sz w:val="20"/>
        </w:rPr>
      </w:pPr>
      <w:r>
        <w:rPr>
          <w:rFonts w:ascii="Arial" w:hAnsi="Arial"/>
          <w:color w:val="000000"/>
          <w:sz w:val="20"/>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and resellers to the extent of the amounts recorded in the consolidated balance sheets. No</w:t>
      </w:r>
      <w:r>
        <w:rPr>
          <w:rFonts w:ascii="Times New Roman" w:hAnsi="Times New Roman"/>
          <w:color w:val="000000"/>
          <w:sz w:val="20"/>
        </w:rPr>
        <w:t xml:space="preserve"> </w:t>
      </w:r>
      <w:r>
        <w:rPr>
          <w:rFonts w:ascii="Arial" w:hAnsi="Arial"/>
          <w:color w:val="000000"/>
          <w:sz w:val="20"/>
        </w:rPr>
        <w:t>customer accounted for more than 10% of revenue for either of the three or six months ended June 30, 2024 and 2023. As of December 31, 2023 and June 30, 2024</w:t>
      </w:r>
      <w:r>
        <w:rPr>
          <w:rFonts w:ascii="Times New Roman" w:hAnsi="Times New Roman"/>
          <w:color w:val="000000"/>
          <w:sz w:val="20"/>
        </w:rPr>
        <w:t xml:space="preserve"> </w:t>
      </w:r>
      <w:r>
        <w:rPr>
          <w:rFonts w:ascii="Arial" w:hAnsi="Arial"/>
          <w:color w:val="000000"/>
          <w:sz w:val="20"/>
        </w:rPr>
        <w:t>one</w:t>
      </w:r>
      <w:r>
        <w:rPr>
          <w:rFonts w:ascii="Times New Roman" w:hAnsi="Times New Roman"/>
          <w:color w:val="000000"/>
          <w:sz w:val="20"/>
        </w:rPr>
        <w:t xml:space="preserve"> </w:t>
      </w:r>
      <w:r>
        <w:rPr>
          <w:rFonts w:ascii="Arial" w:hAnsi="Arial"/>
          <w:color w:val="000000"/>
          <w:sz w:val="20"/>
        </w:rPr>
        <w:t>customer/reseller accounted for more than 10% of accounts receivable.</w:t>
      </w:r>
    </w:p>
    <w:p>
      <w:pPr>
        <w:pStyle w:val="TextBody"/>
        <w:bidi w:val="0"/>
        <w:spacing w:before="120" w:after="283"/>
        <w:jc w:val="both"/>
        <w:rPr>
          <w:rFonts w:ascii="Arial" w:hAnsi="Arial"/>
          <w:b/>
          <w:i/>
          <w:color w:val="000000"/>
          <w:sz w:val="20"/>
        </w:rPr>
      </w:pPr>
      <w:r>
        <w:rPr>
          <w:rFonts w:ascii="Arial" w:hAnsi="Arial"/>
          <w:b/>
          <w:i/>
          <w:color w:val="000000"/>
          <w:sz w:val="20"/>
        </w:rPr>
        <w:t>Segment Information</w:t>
      </w:r>
    </w:p>
    <w:p>
      <w:pPr>
        <w:pStyle w:val="TextBody"/>
        <w:bidi w:val="0"/>
        <w:spacing w:before="120" w:after="283"/>
        <w:jc w:val="both"/>
        <w:rPr>
          <w:rFonts w:ascii="Times New Roman" w:hAnsi="Times New Roman"/>
          <w:sz w:val="20"/>
        </w:rPr>
      </w:pPr>
      <w:r>
        <w:rPr>
          <w:rFonts w:ascii="Arial" w:hAnsi="Arial"/>
          <w:color w:val="000000"/>
          <w:sz w:val="20"/>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w:t>
      </w:r>
      <w:r>
        <w:rPr>
          <w:rFonts w:ascii="Times New Roman" w:hAnsi="Times New Roman"/>
          <w:color w:val="000000"/>
          <w:sz w:val="20"/>
        </w:rPr>
        <w:t xml:space="preserve"> </w:t>
      </w:r>
      <w:r>
        <w:rPr>
          <w:rFonts w:ascii="Arial" w:hAnsi="Arial"/>
          <w:color w:val="000000"/>
          <w:sz w:val="20"/>
        </w:rPr>
        <w:t>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4 and Note 3, respectively.</w:t>
      </w:r>
    </w:p>
    <w:p>
      <w:pPr>
        <w:pStyle w:val="TextBody"/>
        <w:bidi w:val="0"/>
        <w:spacing w:before="12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20" w:after="283"/>
        <w:jc w:val="both"/>
        <w:rPr>
          <w:rFonts w:ascii="Arial" w:hAnsi="Arial"/>
          <w:color w:val="000000"/>
          <w:sz w:val="20"/>
        </w:rPr>
      </w:pPr>
      <w:r>
        <w:rPr>
          <w:rFonts w:ascii="Arial" w:hAnsi="Arial"/>
          <w:color w:val="000000"/>
          <w:sz w:val="20"/>
        </w:rPr>
        <w:t>The Company’s significant accounting policies are discussed in Note 2, “Basis of Presentation and Summary of Significant Accounting Policies,” in the Notes to Consolidated Financial Statements as of December 31, 2023 and 2022 and for the years ended December 31, 2023, 2022 and 2021 included in the 2023 Form 10-K. There have been no significant changes to these policies during the three and six months ended June 30, 2024.</w:t>
      </w:r>
    </w:p>
    <w:p>
      <w:pPr>
        <w:pStyle w:val="TextBody"/>
        <w:bidi w:val="0"/>
        <w:spacing w:before="120" w:after="283"/>
        <w:jc w:val="left"/>
        <w:rPr>
          <w:rFonts w:ascii="Arial" w:hAnsi="Arial"/>
          <w:b/>
          <w:i/>
          <w:color w:val="000000"/>
          <w:sz w:val="20"/>
        </w:rPr>
      </w:pPr>
      <w:r>
        <w:rPr>
          <w:rFonts w:ascii="Arial" w:hAnsi="Arial"/>
          <w:b/>
          <w:i/>
          <w:color w:val="000000"/>
          <w:sz w:val="20"/>
        </w:rPr>
        <w:t>Recently Adopted Accounting Standards</w:t>
      </w:r>
    </w:p>
    <w:p>
      <w:pPr>
        <w:pStyle w:val="TextBody"/>
        <w:bidi w:val="0"/>
        <w:spacing w:before="120" w:after="283"/>
        <w:jc w:val="both"/>
        <w:rPr>
          <w:rFonts w:ascii="Arial" w:hAnsi="Arial"/>
          <w:color w:val="000000"/>
          <w:sz w:val="20"/>
        </w:rPr>
      </w:pPr>
      <w:r>
        <w:rPr>
          <w:rFonts w:ascii="Arial" w:hAnsi="Arial"/>
          <w:color w:val="000000"/>
          <w:sz w:val="20"/>
        </w:rPr>
        <w:t>The Company is provided the option to adopt new or revised accounting guidance as an “emerging growth company” under the Jumpstart Our Business Startups Act of 2012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pStyle w:val="TextBody"/>
        <w:bidi w:val="0"/>
        <w:spacing w:before="120" w:after="283"/>
        <w:jc w:val="both"/>
        <w:rPr>
          <w:rFonts w:ascii="Arial" w:hAnsi="Arial"/>
          <w:color w:val="000000"/>
          <w:sz w:val="20"/>
        </w:rPr>
      </w:pPr>
      <w:r>
        <w:rPr>
          <w:rFonts w:ascii="Arial" w:hAnsi="Arial"/>
          <w:color w:val="000000"/>
          <w:sz w:val="20"/>
        </w:rPr>
        <w:t>Accounting Standards Updates ("ASU") not listed below were assessed and determined to be either not applicable or are not expected to have a material impact on the consolidated financial statements.</w:t>
      </w:r>
    </w:p>
    <w:p>
      <w:pPr>
        <w:pStyle w:val="TextBody"/>
        <w:bidi w:val="0"/>
        <w:spacing w:before="120" w:after="283"/>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120" w:after="283"/>
        <w:jc w:val="both"/>
        <w:rPr>
          <w:rFonts w:ascii="Arial" w:hAnsi="Arial"/>
          <w:color w:val="000000"/>
          <w:sz w:val="20"/>
        </w:rPr>
      </w:pPr>
      <w:r>
        <w:rPr>
          <w:rFonts w:ascii="Arial" w:hAnsi="Arial"/>
          <w:color w:val="000000"/>
          <w:sz w:val="20"/>
        </w:rPr>
        <w:t>In November 2023, the Financial Accounting Standards Board ("FASB") issued ASU 2023-07, Segment Reporting (Topic 280): Improvements to Reportable Segment Disclosures. ASU 2023-07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The amendments in ASU 2023-07 are effective for public companies for fiscal years beginning after December 15, 2023 and interim periods within fiscal years beginning after December 15, 2024. Early adoption is permitted. We are currently evaluating the potential impact of adopting this new guidance on our condensed consolidated financial statements and related disclosures.</w:t>
      </w:r>
    </w:p>
    <w:p>
      <w:pPr>
        <w:pStyle w:val="TextBody"/>
        <w:bidi w:val="0"/>
        <w:spacing w:before="120" w:after="283"/>
        <w:jc w:val="both"/>
        <w:rPr>
          <w:rFonts w:ascii="Arial" w:hAnsi="Arial"/>
          <w:color w:val="000000"/>
          <w:sz w:val="20"/>
        </w:rPr>
      </w:pPr>
      <w:r>
        <w:rPr>
          <w:rFonts w:ascii="Arial" w:hAnsi="Arial"/>
          <w:color w:val="000000"/>
          <w:sz w:val="20"/>
        </w:rPr>
        <w:t>In December 2023, the FASB issued ASU 2023-09 "Income Tax Disclosures", which makes changes to annual disclosures of income taxes paid for all entities and requires entities to disclose the amount of income taxes paid, net of refunds received, disaggregated by federal, state and foreign jurisdiction. Additionally, entities are required to disclose income taxes paid, net of refunds received, for individual jurisdictions that comprise 5% or more of total income taxes paid. The 5% threshold is evaluated using the absolute value of the net refund or net payment in each jurisdiction compared to the absolute value of the total income taxes paid (net of refunds received). ASU 2023-09 requires all entities to disclose disaggregated domestic and foreign pre-tax income (or loss) from continuing operations along with disaggregated income tax expense (or benefit) by federal, state and foreign components. Such disaggregation by jurisdiction should classify taxes by jurisdiction based on the jurisdiction imposing the taxes. The amendments in ASU 2023-09 are effective for fiscal years beginning after December 15, 2024 for public companies. Early adoption is permitted. We are currently evaluating the potential impact of adopting this new guidance on our condensed consolidated financial statements and related disclosures.</w:t>
      </w:r>
    </w:p>
    <w:p>
      <w:pPr>
        <w:pStyle w:val="TextBody"/>
        <w:bidi w:val="0"/>
        <w:spacing w:before="12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3. Revenue, Performance Obligations and Contract Balances</w:t>
      </w:r>
    </w:p>
    <w:p>
      <w:pPr>
        <w:pStyle w:val="TextBody"/>
        <w:bidi w:val="0"/>
        <w:spacing w:before="120" w:after="283"/>
        <w:jc w:val="left"/>
        <w:rPr>
          <w:rFonts w:ascii="Arial" w:hAnsi="Arial"/>
          <w:b/>
          <w:i/>
          <w:color w:val="000000"/>
          <w:sz w:val="20"/>
        </w:rPr>
      </w:pPr>
      <w:r>
        <w:rPr>
          <w:rFonts w:ascii="Arial" w:hAnsi="Arial"/>
          <w:b/>
          <w:i/>
          <w:color w:val="000000"/>
          <w:sz w:val="20"/>
        </w:rPr>
        <w:t>Disaggregation of Revenue</w:t>
      </w:r>
    </w:p>
    <w:p>
      <w:pPr>
        <w:pStyle w:val="TextBody"/>
        <w:bidi w:val="0"/>
        <w:spacing w:before="120" w:after="120"/>
        <w:jc w:val="left"/>
        <w:rPr>
          <w:rFonts w:ascii="Arial" w:hAnsi="Arial"/>
          <w:color w:val="000000"/>
          <w:sz w:val="20"/>
        </w:rPr>
      </w:pPr>
      <w:r>
        <w:rPr>
          <w:rFonts w:ascii="Arial" w:hAnsi="Arial"/>
          <w:color w:val="000000"/>
          <w:sz w:val="20"/>
        </w:rPr>
        <w:t>The following table presents a disaggregation of revenue from contracts with customers:</w:t>
      </w:r>
    </w:p>
    <w:tbl>
      <w:tblPr>
        <w:tblW w:w="9977" w:type="dxa"/>
        <w:jc w:val="left"/>
        <w:tblInd w:w="0" w:type="dxa"/>
        <w:tblLayout w:type="fixed"/>
        <w:tblCellMar>
          <w:top w:w="28" w:type="dxa"/>
          <w:left w:w="28" w:type="dxa"/>
          <w:bottom w:w="28" w:type="dxa"/>
          <w:right w:w="28" w:type="dxa"/>
        </w:tblCellMar>
      </w:tblPr>
      <w:tblGrid>
        <w:gridCol w:w="3676"/>
        <w:gridCol w:w="146"/>
        <w:gridCol w:w="263"/>
        <w:gridCol w:w="994"/>
        <w:gridCol w:w="182"/>
        <w:gridCol w:w="182"/>
        <w:gridCol w:w="263"/>
        <w:gridCol w:w="994"/>
        <w:gridCol w:w="146"/>
        <w:gridCol w:w="146"/>
        <w:gridCol w:w="243"/>
        <w:gridCol w:w="916"/>
        <w:gridCol w:w="168"/>
        <w:gridCol w:w="168"/>
        <w:gridCol w:w="243"/>
        <w:gridCol w:w="916"/>
        <w:gridCol w:w="33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4"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transaction processing revenue</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193,564</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146,677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376,316</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293,065</w:t>
            </w:r>
          </w:p>
        </w:tc>
        <w:tc>
          <w:tcPr>
            <w:tcW w:w="33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6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197,422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382,297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297,267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Revenue by geographic area, based on the location of the Company’s users, was as follows:</w:t>
      </w:r>
    </w:p>
    <w:tbl>
      <w:tblPr>
        <w:tblW w:w="7607" w:type="dxa"/>
        <w:jc w:val="left"/>
        <w:tblInd w:w="0" w:type="dxa"/>
        <w:tblLayout w:type="fixed"/>
        <w:tblCellMar>
          <w:top w:w="28" w:type="dxa"/>
          <w:left w:w="28" w:type="dxa"/>
          <w:bottom w:w="28" w:type="dxa"/>
          <w:right w:w="28" w:type="dxa"/>
        </w:tblCellMar>
      </w:tblPr>
      <w:tblGrid>
        <w:gridCol w:w="1306"/>
        <w:gridCol w:w="146"/>
        <w:gridCol w:w="263"/>
        <w:gridCol w:w="994"/>
        <w:gridCol w:w="182"/>
        <w:gridCol w:w="182"/>
        <w:gridCol w:w="263"/>
        <w:gridCol w:w="994"/>
        <w:gridCol w:w="146"/>
        <w:gridCol w:w="146"/>
        <w:gridCol w:w="243"/>
        <w:gridCol w:w="916"/>
        <w:gridCol w:w="168"/>
        <w:gridCol w:w="168"/>
        <w:gridCol w:w="243"/>
        <w:gridCol w:w="916"/>
        <w:gridCol w:w="33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4"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193,483</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145,946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374,784</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291,503</w:t>
            </w:r>
          </w:p>
        </w:tc>
        <w:tc>
          <w:tcPr>
            <w:tcW w:w="33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3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197,422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382,297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297,267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Remaining Performance Obligations</w:t>
      </w:r>
    </w:p>
    <w:p>
      <w:pPr>
        <w:pStyle w:val="TextBody"/>
        <w:bidi w:val="0"/>
        <w:spacing w:before="120" w:after="283"/>
        <w:jc w:val="both"/>
        <w:rPr>
          <w:rFonts w:ascii="Times New Roman" w:hAnsi="Times New Roman"/>
          <w:sz w:val="20"/>
        </w:rPr>
      </w:pPr>
      <w:r>
        <w:rPr>
          <w:rFonts w:ascii="Arial" w:hAnsi="Arial"/>
          <w:color w:val="000000"/>
          <w:sz w:val="20"/>
        </w:rPr>
        <w:t>As of June 30, 2024, the aggregate amount of transaction price allocated to performance obligations that are unsatisfied or partially unsatisfied was $5.8</w:t>
      </w:r>
      <w:r>
        <w:rPr>
          <w:rFonts w:ascii="Times New Roman" w:hAnsi="Times New Roman"/>
          <w:color w:val="000000"/>
          <w:sz w:val="20"/>
        </w:rPr>
        <w:t xml:space="preserve"> </w:t>
      </w:r>
      <w:r>
        <w:rPr>
          <w:rFonts w:ascii="Arial" w:hAnsi="Arial"/>
          <w:color w:val="000000"/>
          <w:sz w:val="20"/>
        </w:rPr>
        <w:t>million, of which the Company expects to recognize over 70%</w:t>
      </w:r>
      <w:r>
        <w:rPr>
          <w:rFonts w:ascii="Times New Roman" w:hAnsi="Times New Roman"/>
          <w:color w:val="000000"/>
          <w:sz w:val="20"/>
        </w:rPr>
        <w:t xml:space="preserve"> </w:t>
      </w:r>
      <w:r>
        <w:rPr>
          <w:rFonts w:ascii="Arial" w:hAnsi="Arial"/>
          <w:color w:val="000000"/>
          <w:sz w:val="20"/>
        </w:rPr>
        <w:t>within the next two years, 23%</w:t>
      </w:r>
      <w:r>
        <w:rPr>
          <w:rFonts w:ascii="Times New Roman" w:hAnsi="Times New Roman"/>
          <w:color w:val="000000"/>
          <w:sz w:val="20"/>
        </w:rPr>
        <w:t xml:space="preserve"> </w:t>
      </w:r>
      <w:r>
        <w:rPr>
          <w:rFonts w:ascii="Arial" w:hAnsi="Arial"/>
          <w:color w:val="000000"/>
          <w:sz w:val="20"/>
        </w:rPr>
        <w:t>between two</w:t>
      </w:r>
      <w:r>
        <w:rPr>
          <w:rFonts w:ascii="Times New Roman" w:hAnsi="Times New Roman"/>
          <w:color w:val="000000"/>
          <w:sz w:val="20"/>
        </w:rPr>
        <w:t xml:space="preserve"> </w:t>
      </w:r>
      <w:r>
        <w:rPr>
          <w:rFonts w:ascii="Arial" w:hAnsi="Arial"/>
          <w:color w:val="000000"/>
          <w:sz w:val="20"/>
        </w:rPr>
        <w:t>to four years</w:t>
      </w:r>
      <w:r>
        <w:rPr>
          <w:rFonts w:ascii="Times New Roman" w:hAnsi="Times New Roman"/>
          <w:color w:val="000000"/>
          <w:sz w:val="20"/>
        </w:rPr>
        <w:t xml:space="preserve"> </w:t>
      </w:r>
      <w:r>
        <w:rPr>
          <w:rFonts w:ascii="Arial" w:hAnsi="Arial"/>
          <w:color w:val="000000"/>
          <w:sz w:val="20"/>
        </w:rPr>
        <w:t>and the remainder thereafter. The timing of revenue recognition within the next four years is largely dependent upon the go-live dates of the Company's customers under the Company’s contracts.</w:t>
      </w:r>
    </w:p>
    <w:p>
      <w:pPr>
        <w:pStyle w:val="TextBody"/>
        <w:bidi w:val="0"/>
        <w:spacing w:before="120" w:after="283"/>
        <w:jc w:val="both"/>
        <w:rPr>
          <w:rFonts w:ascii="Times New Roman" w:hAnsi="Times New Roman"/>
          <w:sz w:val="20"/>
        </w:rPr>
      </w:pPr>
      <w:r>
        <w:rPr>
          <w:rFonts w:ascii="Arial" w:hAnsi="Arial"/>
          <w:color w:val="000000"/>
          <w:sz w:val="20"/>
        </w:rPr>
        <w:t>As of June 30, 2024, the Company has contractual rights under its commercial agreements with customers and resellers to receive $44.2</w:t>
      </w:r>
      <w:r>
        <w:rPr>
          <w:rFonts w:ascii="Times New Roman" w:hAnsi="Times New Roman"/>
          <w:color w:val="000000"/>
          <w:sz w:val="20"/>
        </w:rPr>
        <w:t xml:space="preserve"> </w:t>
      </w:r>
      <w:r>
        <w:rPr>
          <w:rFonts w:ascii="Arial" w:hAnsi="Arial"/>
          <w:color w:val="000000"/>
          <w:sz w:val="20"/>
        </w:rPr>
        <w:t>million of fixed consideration related to the future minimum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pStyle w:val="TextBody"/>
        <w:bidi w:val="0"/>
        <w:spacing w:before="120" w:after="283"/>
        <w:jc w:val="both"/>
        <w:rPr>
          <w:rFonts w:ascii="Arial" w:hAnsi="Arial"/>
          <w:b/>
          <w:i/>
          <w:color w:val="000000"/>
          <w:sz w:val="20"/>
        </w:rPr>
      </w:pPr>
      <w:r>
        <w:rPr>
          <w:rFonts w:ascii="Arial" w:hAnsi="Arial"/>
          <w:b/>
          <w:i/>
          <w:color w:val="000000"/>
          <w:sz w:val="20"/>
        </w:rPr>
        <w:t>Contract Balances</w:t>
      </w:r>
    </w:p>
    <w:p>
      <w:pPr>
        <w:pStyle w:val="TextBody"/>
        <w:bidi w:val="0"/>
        <w:spacing w:before="120" w:after="120"/>
        <w:jc w:val="both"/>
        <w:rPr>
          <w:rFonts w:ascii="Arial" w:hAnsi="Arial"/>
          <w:color w:val="000000"/>
          <w:sz w:val="20"/>
        </w:rPr>
      </w:pPr>
      <w:r>
        <w:rPr>
          <w:rFonts w:ascii="Arial" w:hAnsi="Arial"/>
          <w:color w:val="000000"/>
          <w:sz w:val="20"/>
        </w:rPr>
        <w:t>Contract balances consist of the following:</w:t>
      </w:r>
    </w:p>
    <w:tbl>
      <w:tblPr>
        <w:tblW w:w="7155" w:type="dxa"/>
        <w:jc w:val="left"/>
        <w:tblInd w:w="0" w:type="dxa"/>
        <w:tblLayout w:type="fixed"/>
        <w:tblCellMar>
          <w:top w:w="28" w:type="dxa"/>
          <w:left w:w="28" w:type="dxa"/>
          <w:bottom w:w="28" w:type="dxa"/>
          <w:right w:w="28" w:type="dxa"/>
        </w:tblCellMar>
      </w:tblPr>
      <w:tblGrid>
        <w:gridCol w:w="3996"/>
        <w:gridCol w:w="146"/>
        <w:gridCol w:w="234"/>
        <w:gridCol w:w="651"/>
        <w:gridCol w:w="146"/>
        <w:gridCol w:w="146"/>
        <w:gridCol w:w="361"/>
        <w:gridCol w:w="1004"/>
        <w:gridCol w:w="47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 included under:</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99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2,893</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99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contract assets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99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99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contract liabilities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The amortization of related contract assets included in</w:t>
      </w:r>
      <w:r>
        <w:rPr>
          <w:rFonts w:ascii="Times New Roman" w:hAnsi="Times New Roman"/>
          <w:color w:val="000000"/>
          <w:sz w:val="20"/>
        </w:rPr>
        <w:t xml:space="preserve"> </w:t>
      </w:r>
      <w:r>
        <w:rPr>
          <w:rFonts w:ascii="Arial" w:hAnsi="Arial"/>
          <w:color w:val="000000"/>
          <w:sz w:val="20"/>
        </w:rPr>
        <w:t>the condensed consolidated statements of operations and comprehensive income was as follows:</w:t>
      </w:r>
    </w:p>
    <w:tbl>
      <w:tblPr>
        <w:tblW w:w="10205" w:type="dxa"/>
        <w:jc w:val="left"/>
        <w:tblInd w:w="0" w:type="dxa"/>
        <w:tblLayout w:type="fixed"/>
        <w:tblCellMar>
          <w:top w:w="28" w:type="dxa"/>
          <w:left w:w="28" w:type="dxa"/>
          <w:bottom w:w="28" w:type="dxa"/>
          <w:right w:w="28" w:type="dxa"/>
        </w:tblCellMar>
      </w:tblPr>
      <w:tblGrid>
        <w:gridCol w:w="3370"/>
        <w:gridCol w:w="146"/>
        <w:gridCol w:w="387"/>
        <w:gridCol w:w="774"/>
        <w:gridCol w:w="268"/>
        <w:gridCol w:w="268"/>
        <w:gridCol w:w="387"/>
        <w:gridCol w:w="774"/>
        <w:gridCol w:w="426"/>
        <w:gridCol w:w="426"/>
        <w:gridCol w:w="295"/>
        <w:gridCol w:w="822"/>
        <w:gridCol w:w="204"/>
        <w:gridCol w:w="204"/>
        <w:gridCol w:w="295"/>
        <w:gridCol w:w="822"/>
        <w:gridCol w:w="337"/>
      </w:tblGrid>
      <w:tr>
        <w:trPr/>
        <w:tc>
          <w:tcPr>
            <w:tcW w:w="3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3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2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shd w:fill="FFFFFF" w:val="cle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52"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7" w:type="dxa"/>
            <w:tcBorders/>
            <w:shd w:fill="FFFFFF" w:val="clear"/>
            <w:vAlign w:val="center"/>
          </w:tcPr>
          <w:p>
            <w:pPr>
              <w:pStyle w:val="TableContents"/>
              <w:bidi w:val="0"/>
              <w:spacing w:before="0" w:after="283"/>
              <w:jc w:val="center"/>
              <w:rPr/>
            </w:pPr>
            <w:r>
              <w:rPr/>
              <w:t> </w:t>
            </w:r>
          </w:p>
        </w:tc>
      </w:tr>
      <w:tr>
        <w:trPr/>
        <w:tc>
          <w:tcPr>
            <w:tcW w:w="33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268"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629</w:t>
            </w:r>
          </w:p>
        </w:tc>
        <w:tc>
          <w:tcPr>
            <w:tcW w:w="426" w:type="dxa"/>
            <w:tcBorders/>
            <w:shd w:fill="CFF0FC" w:val="clear"/>
            <w:vAlign w:val="center"/>
          </w:tcPr>
          <w:p>
            <w:pPr>
              <w:pStyle w:val="TableContents"/>
              <w:bidi w:val="0"/>
              <w:spacing w:before="0" w:after="283"/>
              <w:ind w:left="0" w:right="0" w:firstLine="140"/>
              <w:jc w:val="left"/>
              <w:rPr/>
            </w:pPr>
            <w:r>
              <w:rPr/>
              <w:t> </w:t>
            </w:r>
          </w:p>
        </w:tc>
        <w:tc>
          <w:tcPr>
            <w:tcW w:w="426" w:type="dxa"/>
            <w:tcBorders/>
            <w:shd w:fill="CFF0FC" w:val="clear"/>
            <w:vAlign w:val="center"/>
          </w:tcPr>
          <w:p>
            <w:pPr>
              <w:pStyle w:val="TableContents"/>
              <w:bidi w:val="0"/>
              <w:spacing w:before="0" w:after="283"/>
              <w:ind w:left="140" w:right="0" w:firstLine="140"/>
              <w:jc w:val="left"/>
              <w:rPr/>
            </w:pPr>
            <w:r>
              <w:rPr/>
              <w:t> </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306</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1,253</w:t>
            </w:r>
          </w:p>
        </w:tc>
        <w:tc>
          <w:tcPr>
            <w:tcW w:w="337" w:type="dxa"/>
            <w:tcBorders/>
            <w:shd w:fill="CFF0FC" w:val="clear"/>
            <w:vAlign w:val="center"/>
          </w:tcPr>
          <w:p>
            <w:pPr>
              <w:pStyle w:val="TableContents"/>
              <w:bidi w:val="0"/>
              <w:spacing w:before="0" w:after="283"/>
              <w:jc w:val="left"/>
              <w:rPr/>
            </w:pPr>
            <w:r>
              <w:rPr/>
              <w:t> </w:t>
            </w:r>
          </w:p>
        </w:tc>
      </w:tr>
      <w:tr>
        <w:trPr/>
        <w:tc>
          <w:tcPr>
            <w:tcW w:w="33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37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amortization of contact assets</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1,440</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Revenue recognized during the three months ended June 30, 2024 and 2023 that was included in the contract liabilities balance at the beginning of each of the periods was $2.1</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Revenue recognized during the six months ended June 30, 2024 and 2023 that was included in the contract liabilities balance at the beginning of each of the periods was $2.9</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left"/>
        <w:rPr>
          <w:rFonts w:ascii="Arial" w:hAnsi="Arial"/>
          <w:b/>
          <w:color w:val="000000"/>
          <w:sz w:val="20"/>
        </w:rPr>
      </w:pPr>
      <w:r>
        <w:rPr>
          <w:rFonts w:ascii="Arial" w:hAnsi="Arial"/>
          <w:b/>
          <w:color w:val="000000"/>
          <w:sz w:val="20"/>
        </w:rPr>
        <w:t>4. Property and Equipment, net</w:t>
      </w:r>
    </w:p>
    <w:p>
      <w:pPr>
        <w:pStyle w:val="TextBody"/>
        <w:bidi w:val="0"/>
        <w:spacing w:before="120" w:after="120"/>
        <w:jc w:val="left"/>
        <w:rPr>
          <w:rFonts w:ascii="Arial" w:hAnsi="Arial"/>
          <w:color w:val="000000"/>
          <w:sz w:val="20"/>
        </w:rPr>
      </w:pPr>
      <w:r>
        <w:rPr>
          <w:rFonts w:ascii="Arial" w:hAnsi="Arial"/>
          <w:color w:val="000000"/>
          <w:sz w:val="20"/>
        </w:rPr>
        <w:t>Property and equipment, net consisted of the following:</w:t>
      </w:r>
    </w:p>
    <w:tbl>
      <w:tblPr>
        <w:tblW w:w="6370" w:type="dxa"/>
        <w:jc w:val="left"/>
        <w:tblInd w:w="0" w:type="dxa"/>
        <w:tblLayout w:type="fixed"/>
        <w:tblCellMar>
          <w:top w:w="28" w:type="dxa"/>
          <w:left w:w="28" w:type="dxa"/>
          <w:bottom w:w="28" w:type="dxa"/>
          <w:right w:w="28" w:type="dxa"/>
        </w:tblCellMar>
      </w:tblPr>
      <w:tblGrid>
        <w:gridCol w:w="3191"/>
        <w:gridCol w:w="146"/>
        <w:gridCol w:w="218"/>
        <w:gridCol w:w="667"/>
        <w:gridCol w:w="166"/>
        <w:gridCol w:w="146"/>
        <w:gridCol w:w="336"/>
        <w:gridCol w:w="1029"/>
        <w:gridCol w:w="47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3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6,059</w:t>
            </w:r>
          </w:p>
        </w:tc>
        <w:tc>
          <w:tcPr>
            <w:tcW w:w="471" w:type="dxa"/>
            <w:tcBorders/>
            <w:shd w:fill="CFF0FC" w:val="clear"/>
            <w:vAlign w:val="center"/>
          </w:tcPr>
          <w:p>
            <w:pPr>
              <w:pStyle w:val="TableContents"/>
              <w:bidi w:val="0"/>
              <w:spacing w:before="0" w:after="283"/>
              <w:jc w:val="left"/>
              <w:rPr/>
            </w:pPr>
            <w:r>
              <w:rPr/>
              <w:t> </w:t>
            </w:r>
          </w:p>
        </w:tc>
      </w:tr>
      <w:tr>
        <w:trPr/>
        <w:tc>
          <w:tcPr>
            <w:tcW w:w="3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1,715</w:t>
            </w:r>
          </w:p>
        </w:tc>
        <w:tc>
          <w:tcPr>
            <w:tcW w:w="471" w:type="dxa"/>
            <w:tcBorders/>
            <w:shd w:fill="FFFFFF" w:val="clear"/>
            <w:vAlign w:val="center"/>
          </w:tcPr>
          <w:p>
            <w:pPr>
              <w:pStyle w:val="TableContents"/>
              <w:bidi w:val="0"/>
              <w:spacing w:before="0" w:after="283"/>
              <w:jc w:val="left"/>
              <w:rPr/>
            </w:pPr>
            <w:r>
              <w:rPr/>
              <w:t> </w:t>
            </w:r>
          </w:p>
        </w:tc>
      </w:tr>
      <w:tr>
        <w:trPr/>
        <w:tc>
          <w:tcPr>
            <w:tcW w:w="3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19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19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Depreciation expense recorded for property and equipment was $0.2</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for the three months ended June 30, 2024 and 2023, respectively, and $0.4</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six months ended June 30, 2024 and 2023, respectively.</w:t>
      </w:r>
    </w:p>
    <w:p>
      <w:pPr>
        <w:pStyle w:val="TextBody"/>
        <w:bidi w:val="0"/>
        <w:spacing w:before="120" w:after="120"/>
        <w:jc w:val="both"/>
        <w:rPr>
          <w:rFonts w:ascii="Times New Roman" w:hAnsi="Times New Roman"/>
          <w:sz w:val="20"/>
        </w:rPr>
      </w:pPr>
      <w:r>
        <w:rPr>
          <w:rFonts w:ascii="Arial" w:hAnsi="Arial"/>
          <w:color w:val="000000"/>
          <w:sz w:val="20"/>
        </w:rPr>
        <w:t>The geographic locations of the Company</w:t>
      </w:r>
      <w:r>
        <w:rPr>
          <w:rFonts w:ascii="Times New Roman" w:hAnsi="Times New Roman"/>
          <w:color w:val="000000"/>
          <w:sz w:val="20"/>
        </w:rPr>
        <w:t>’</w:t>
      </w:r>
      <w:r>
        <w:rPr>
          <w:rFonts w:ascii="Arial" w:hAnsi="Arial"/>
          <w:color w:val="000000"/>
          <w:sz w:val="20"/>
        </w:rPr>
        <w:t>s long-lived assets, comprising property and equipment, based on physical location of the assets were as follows:</w:t>
      </w:r>
      <w:r>
        <w:rPr>
          <w:rFonts w:ascii="Times New Roman" w:hAnsi="Times New Roman"/>
          <w:color w:val="000000"/>
          <w:sz w:val="20"/>
        </w:rPr>
        <w:t xml:space="preserve"> </w:t>
      </w:r>
    </w:p>
    <w:tbl>
      <w:tblPr>
        <w:tblW w:w="4325" w:type="dxa"/>
        <w:jc w:val="left"/>
        <w:tblInd w:w="0" w:type="dxa"/>
        <w:tblLayout w:type="fixed"/>
        <w:tblCellMar>
          <w:top w:w="28" w:type="dxa"/>
          <w:left w:w="28" w:type="dxa"/>
          <w:bottom w:w="28" w:type="dxa"/>
          <w:right w:w="28" w:type="dxa"/>
        </w:tblCellMar>
      </w:tblPr>
      <w:tblGrid>
        <w:gridCol w:w="1306"/>
        <w:gridCol w:w="146"/>
        <w:gridCol w:w="234"/>
        <w:gridCol w:w="651"/>
        <w:gridCol w:w="146"/>
        <w:gridCol w:w="146"/>
        <w:gridCol w:w="361"/>
        <w:gridCol w:w="1004"/>
        <w:gridCol w:w="33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shd w:fill="FFFFFF"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33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3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5. Goodwill, Internal-use Software Development Costs and Intangible Assets</w:t>
      </w:r>
    </w:p>
    <w:p>
      <w:pPr>
        <w:pStyle w:val="TextBody"/>
        <w:bidi w:val="0"/>
        <w:spacing w:before="120" w:after="283"/>
        <w:jc w:val="left"/>
        <w:rPr>
          <w:rFonts w:ascii="Arial" w:hAnsi="Arial"/>
          <w:b/>
          <w:i/>
          <w:color w:val="000000"/>
          <w:sz w:val="20"/>
        </w:rPr>
      </w:pPr>
      <w:r>
        <w:rPr>
          <w:rFonts w:ascii="Arial" w:hAnsi="Arial"/>
          <w:b/>
          <w:i/>
          <w:color w:val="000000"/>
          <w:sz w:val="20"/>
        </w:rPr>
        <w:t>Goodwill</w:t>
      </w:r>
    </w:p>
    <w:p>
      <w:pPr>
        <w:pStyle w:val="TextBody"/>
        <w:bidi w:val="0"/>
        <w:spacing w:before="120" w:after="120"/>
        <w:jc w:val="both"/>
        <w:rPr>
          <w:rFonts w:ascii="Arial" w:hAnsi="Arial"/>
          <w:color w:val="000000"/>
          <w:sz w:val="20"/>
        </w:rPr>
      </w:pPr>
      <w:r>
        <w:rPr>
          <w:rFonts w:ascii="Arial" w:hAnsi="Arial"/>
          <w:color w:val="000000"/>
          <w:sz w:val="20"/>
        </w:rPr>
        <w:t>The changes in the carrying amount of goodwill by reporting unit were as follows (in thousands):</w:t>
      </w:r>
    </w:p>
    <w:tbl>
      <w:tblPr>
        <w:tblW w:w="7268" w:type="dxa"/>
        <w:jc w:val="left"/>
        <w:tblInd w:w="0" w:type="dxa"/>
        <w:tblLayout w:type="fixed"/>
        <w:tblCellMar>
          <w:top w:w="28" w:type="dxa"/>
          <w:left w:w="28" w:type="dxa"/>
          <w:bottom w:w="28" w:type="dxa"/>
          <w:right w:w="28" w:type="dxa"/>
        </w:tblCellMar>
      </w:tblPr>
      <w:tblGrid>
        <w:gridCol w:w="3661"/>
        <w:gridCol w:w="146"/>
        <w:gridCol w:w="211"/>
        <w:gridCol w:w="796"/>
        <w:gridCol w:w="146"/>
        <w:gridCol w:w="146"/>
        <w:gridCol w:w="211"/>
        <w:gridCol w:w="421"/>
        <w:gridCol w:w="166"/>
        <w:gridCol w:w="146"/>
        <w:gridCol w:w="211"/>
        <w:gridCol w:w="796"/>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United</w:t>
              <w:br/>
              <w:t>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131,860</w:t>
            </w:r>
          </w:p>
        </w:tc>
        <w:tc>
          <w:tcPr>
            <w:tcW w:w="2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June 30,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131,845</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Internal-use Software Development Costs</w:t>
      </w:r>
    </w:p>
    <w:p>
      <w:pPr>
        <w:pStyle w:val="TextBody"/>
        <w:bidi w:val="0"/>
        <w:spacing w:before="120" w:after="283"/>
        <w:jc w:val="both"/>
        <w:rPr>
          <w:rFonts w:ascii="Times New Roman" w:hAnsi="Times New Roman"/>
          <w:sz w:val="20"/>
        </w:rPr>
      </w:pPr>
      <w:r>
        <w:rPr>
          <w:rFonts w:ascii="Arial" w:hAnsi="Arial"/>
          <w:color w:val="000000"/>
          <w:sz w:val="20"/>
        </w:rPr>
        <w:t>During the three months ended June 30, 2024 and 2023, the Company capitalized $9.1</w:t>
      </w:r>
      <w:r>
        <w:rPr>
          <w:rFonts w:ascii="Times New Roman" w:hAnsi="Times New Roman"/>
          <w:color w:val="000000"/>
          <w:sz w:val="20"/>
        </w:rPr>
        <w:t xml:space="preserve"> </w:t>
      </w:r>
      <w:r>
        <w:rPr>
          <w:rFonts w:ascii="Arial" w:hAnsi="Arial"/>
          <w:color w:val="000000"/>
          <w:sz w:val="20"/>
        </w:rPr>
        <w:t>million and $8.4</w:t>
      </w:r>
      <w:r>
        <w:rPr>
          <w:rFonts w:ascii="Times New Roman" w:hAnsi="Times New Roman"/>
          <w:color w:val="000000"/>
          <w:sz w:val="20"/>
        </w:rPr>
        <w:t xml:space="preserve"> </w:t>
      </w:r>
      <w:r>
        <w:rPr>
          <w:rFonts w:ascii="Arial" w:hAnsi="Arial"/>
          <w:color w:val="000000"/>
          <w:sz w:val="20"/>
        </w:rPr>
        <w:t>million in software development and implementation costs, respectively, and during the six months ended June 30, 2024 and 2023, the Company capitalized $18.4</w:t>
      </w:r>
      <w:r>
        <w:rPr>
          <w:rFonts w:ascii="Times New Roman" w:hAnsi="Times New Roman"/>
          <w:color w:val="000000"/>
          <w:sz w:val="20"/>
        </w:rPr>
        <w:t xml:space="preserve"> </w:t>
      </w:r>
      <w:r>
        <w:rPr>
          <w:rFonts w:ascii="Arial" w:hAnsi="Arial"/>
          <w:color w:val="000000"/>
          <w:sz w:val="20"/>
        </w:rPr>
        <w:t>million and $16.6</w:t>
      </w:r>
      <w:r>
        <w:rPr>
          <w:rFonts w:ascii="Times New Roman" w:hAnsi="Times New Roman"/>
          <w:color w:val="000000"/>
          <w:sz w:val="20"/>
        </w:rPr>
        <w:t xml:space="preserve"> </w:t>
      </w:r>
      <w:r>
        <w:rPr>
          <w:rFonts w:ascii="Arial" w:hAnsi="Arial"/>
          <w:color w:val="000000"/>
          <w:sz w:val="20"/>
        </w:rPr>
        <w:t>million in software development and implementation costs, respectively.</w:t>
      </w:r>
    </w:p>
    <w:p>
      <w:pPr>
        <w:pStyle w:val="TextBody"/>
        <w:bidi w:val="0"/>
        <w:spacing w:before="120" w:after="283"/>
        <w:jc w:val="both"/>
        <w:rPr>
          <w:rFonts w:ascii="Times New Roman" w:hAnsi="Times New Roman"/>
          <w:sz w:val="20"/>
        </w:rPr>
      </w:pPr>
      <w:r>
        <w:rPr>
          <w:rFonts w:ascii="Arial" w:hAnsi="Arial"/>
          <w:color w:val="000000"/>
          <w:sz w:val="20"/>
        </w:rPr>
        <w:t>During the three months ended June 30, 2024 and 2023, the Company recorded $4.4</w:t>
      </w:r>
      <w:r>
        <w:rPr>
          <w:rFonts w:ascii="Times New Roman" w:hAnsi="Times New Roman"/>
          <w:color w:val="000000"/>
          <w:sz w:val="20"/>
        </w:rPr>
        <w:t xml:space="preserve"> </w:t>
      </w:r>
      <w:r>
        <w:rPr>
          <w:rFonts w:ascii="Arial" w:hAnsi="Arial"/>
          <w:color w:val="000000"/>
          <w:sz w:val="20"/>
        </w:rPr>
        <w:t>million and $3.2</w:t>
      </w:r>
      <w:r>
        <w:rPr>
          <w:rFonts w:ascii="Times New Roman" w:hAnsi="Times New Roman"/>
          <w:color w:val="000000"/>
          <w:sz w:val="20"/>
        </w:rPr>
        <w:t xml:space="preserve"> </w:t>
      </w:r>
      <w:r>
        <w:rPr>
          <w:rFonts w:ascii="Arial" w:hAnsi="Arial"/>
          <w:color w:val="000000"/>
          <w:sz w:val="20"/>
        </w:rPr>
        <w:t>million of amortization expense in cost of revenue, respectively, and $2.4</w:t>
      </w:r>
      <w:r>
        <w:rPr>
          <w:rFonts w:ascii="Times New Roman" w:hAnsi="Times New Roman"/>
          <w:color w:val="000000"/>
          <w:sz w:val="20"/>
        </w:rPr>
        <w:t xml:space="preserve"> </w:t>
      </w:r>
      <w:r>
        <w:rPr>
          <w:rFonts w:ascii="Arial" w:hAnsi="Arial"/>
          <w:color w:val="000000"/>
          <w:sz w:val="20"/>
        </w:rPr>
        <w:t>million and $1.9</w:t>
      </w:r>
      <w:r>
        <w:rPr>
          <w:rFonts w:ascii="Times New Roman" w:hAnsi="Times New Roman"/>
          <w:color w:val="000000"/>
          <w:sz w:val="20"/>
        </w:rPr>
        <w:t xml:space="preserve"> </w:t>
      </w:r>
      <w:r>
        <w:rPr>
          <w:rFonts w:ascii="Arial" w:hAnsi="Arial"/>
          <w:color w:val="000000"/>
          <w:sz w:val="20"/>
        </w:rPr>
        <w:t>million of amortization expense in operating expenses, respectively. During the six months ended June 30, 2024 and 2023, the Company recorded $8.4</w:t>
      </w:r>
      <w:r>
        <w:rPr>
          <w:rFonts w:ascii="Times New Roman" w:hAnsi="Times New Roman"/>
          <w:color w:val="000000"/>
          <w:sz w:val="20"/>
        </w:rPr>
        <w:t xml:space="preserve"> </w:t>
      </w:r>
      <w:r>
        <w:rPr>
          <w:rFonts w:ascii="Arial" w:hAnsi="Arial"/>
          <w:color w:val="000000"/>
          <w:sz w:val="20"/>
        </w:rPr>
        <w:t>million and $6.0</w:t>
      </w:r>
    </w:p>
    <w:p>
      <w:pPr>
        <w:pStyle w:val="TextBody"/>
        <w:bidi w:val="0"/>
        <w:spacing w:before="12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million of amortization expense in cost of revenue, respectively, and $4.7</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of amortization expense in operating expenses, respectively.</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Intangible Assets</w:t>
      </w:r>
    </w:p>
    <w:p>
      <w:pPr>
        <w:pStyle w:val="TextBody"/>
        <w:bidi w:val="0"/>
        <w:spacing w:before="120" w:after="120"/>
        <w:jc w:val="both"/>
        <w:rPr>
          <w:rFonts w:ascii="Arial" w:hAnsi="Arial"/>
          <w:color w:val="000000"/>
          <w:sz w:val="20"/>
        </w:rPr>
      </w:pPr>
      <w:r>
        <w:rPr>
          <w:rFonts w:ascii="Arial" w:hAnsi="Arial"/>
          <w:color w:val="000000"/>
          <w:sz w:val="20"/>
        </w:rPr>
        <w:t>Intangible assets, net consisted of the following (in thousands):</w:t>
      </w:r>
    </w:p>
    <w:tbl>
      <w:tblPr>
        <w:tblW w:w="6217" w:type="dxa"/>
        <w:jc w:val="left"/>
        <w:tblInd w:w="0" w:type="dxa"/>
        <w:tblLayout w:type="fixed"/>
        <w:tblCellMar>
          <w:top w:w="28" w:type="dxa"/>
          <w:left w:w="28" w:type="dxa"/>
          <w:bottom w:w="28" w:type="dxa"/>
          <w:right w:w="28" w:type="dxa"/>
        </w:tblCellMar>
      </w:tblPr>
      <w:tblGrid>
        <w:gridCol w:w="2011"/>
        <w:gridCol w:w="146"/>
        <w:gridCol w:w="211"/>
        <w:gridCol w:w="691"/>
        <w:gridCol w:w="146"/>
        <w:gridCol w:w="146"/>
        <w:gridCol w:w="289"/>
        <w:gridCol w:w="1032"/>
        <w:gridCol w:w="166"/>
        <w:gridCol w:w="146"/>
        <w:gridCol w:w="211"/>
        <w:gridCol w:w="691"/>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(16,817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5,009</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(15,090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16,892</w:t>
            </w:r>
          </w:p>
        </w:tc>
        <w:tc>
          <w:tcPr>
            <w:tcW w:w="33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license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(2,906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0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2011"/>
        <w:gridCol w:w="146"/>
        <w:gridCol w:w="211"/>
        <w:gridCol w:w="691"/>
        <w:gridCol w:w="146"/>
        <w:gridCol w:w="146"/>
        <w:gridCol w:w="289"/>
        <w:gridCol w:w="1032"/>
        <w:gridCol w:w="166"/>
        <w:gridCol w:w="146"/>
        <w:gridCol w:w="211"/>
        <w:gridCol w:w="691"/>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(14,951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6,894</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(13,480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18,526</w:t>
            </w:r>
          </w:p>
        </w:tc>
        <w:tc>
          <w:tcPr>
            <w:tcW w:w="33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license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0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27,158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Amortization expense of intangible assets was $2.0</w:t>
      </w:r>
      <w:r>
        <w:rPr>
          <w:rFonts w:ascii="Times New Roman" w:hAnsi="Times New Roman"/>
          <w:color w:val="000000"/>
          <w:sz w:val="20"/>
        </w:rPr>
        <w:t xml:space="preserve"> </w:t>
      </w:r>
      <w:r>
        <w:rPr>
          <w:rFonts w:ascii="Arial" w:hAnsi="Arial"/>
          <w:color w:val="000000"/>
          <w:sz w:val="20"/>
        </w:rPr>
        <w:t>million and $2.0</w:t>
      </w:r>
      <w:r>
        <w:rPr>
          <w:rFonts w:ascii="Times New Roman" w:hAnsi="Times New Roman"/>
          <w:color w:val="000000"/>
          <w:sz w:val="20"/>
        </w:rPr>
        <w:t xml:space="preserve"> </w:t>
      </w:r>
      <w:r>
        <w:rPr>
          <w:rFonts w:ascii="Arial" w:hAnsi="Arial"/>
          <w:color w:val="000000"/>
          <w:sz w:val="20"/>
        </w:rPr>
        <w:t>million for the three months ended June 30, 2024 and 2023, respectively, and $4.0</w:t>
      </w:r>
      <w:r>
        <w:rPr>
          <w:rFonts w:ascii="Times New Roman" w:hAnsi="Times New Roman"/>
          <w:color w:val="000000"/>
          <w:sz w:val="20"/>
        </w:rPr>
        <w:t xml:space="preserve"> </w:t>
      </w:r>
      <w:r>
        <w:rPr>
          <w:rFonts w:ascii="Arial" w:hAnsi="Arial"/>
          <w:color w:val="000000"/>
          <w:sz w:val="20"/>
        </w:rPr>
        <w:t>million and $4.3</w:t>
      </w:r>
      <w:r>
        <w:rPr>
          <w:rFonts w:ascii="Times New Roman" w:hAnsi="Times New Roman"/>
          <w:color w:val="000000"/>
          <w:sz w:val="20"/>
        </w:rPr>
        <w:t xml:space="preserve"> </w:t>
      </w:r>
      <w:r>
        <w:rPr>
          <w:rFonts w:ascii="Arial" w:hAnsi="Arial"/>
          <w:color w:val="000000"/>
          <w:sz w:val="20"/>
        </w:rPr>
        <w:t>million for the six months ended June 30, 2024 and 2023, respectively.</w:t>
      </w:r>
    </w:p>
    <w:p>
      <w:pPr>
        <w:pStyle w:val="TextBody"/>
        <w:bidi w:val="0"/>
        <w:spacing w:before="120" w:after="120"/>
        <w:jc w:val="both"/>
        <w:rPr>
          <w:rFonts w:ascii="Arial" w:hAnsi="Arial"/>
          <w:color w:val="000000"/>
          <w:sz w:val="20"/>
        </w:rPr>
      </w:pPr>
      <w:r>
        <w:rPr>
          <w:rFonts w:ascii="Arial" w:hAnsi="Arial"/>
          <w:color w:val="000000"/>
          <w:sz w:val="20"/>
        </w:rPr>
        <w:t>As of June 30, 2024, future expected amortization expense is as follows (in thousands):</w:t>
      </w:r>
    </w:p>
    <w:tbl>
      <w:tblPr>
        <w:tblW w:w="4830" w:type="dxa"/>
        <w:jc w:val="left"/>
        <w:tblInd w:w="0" w:type="dxa"/>
        <w:tblLayout w:type="fixed"/>
        <w:tblCellMar>
          <w:top w:w="28" w:type="dxa"/>
          <w:left w:w="28" w:type="dxa"/>
          <w:bottom w:w="28" w:type="dxa"/>
          <w:right w:w="28" w:type="dxa"/>
        </w:tblCellMar>
      </w:tblPr>
      <w:tblGrid>
        <w:gridCol w:w="3311"/>
        <w:gridCol w:w="146"/>
        <w:gridCol w:w="211"/>
        <w:gridCol w:w="691"/>
        <w:gridCol w:w="47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 December 31,</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31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2024 (remaining 6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4,042</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3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6,620</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31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3,737</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3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31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31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future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goodwill, internal-use software development costs or intangible assets in the three or six months ended June 30, 2024 and 2023.</w:t>
      </w:r>
    </w:p>
    <w:p>
      <w:pPr>
        <w:pStyle w:val="TextBody"/>
        <w:bidi w:val="0"/>
        <w:spacing w:before="240" w:after="283"/>
        <w:jc w:val="left"/>
        <w:rPr>
          <w:rFonts w:ascii="Arial" w:hAnsi="Arial"/>
          <w:b/>
          <w:color w:val="000000"/>
          <w:sz w:val="20"/>
        </w:rPr>
      </w:pPr>
      <w:r>
        <w:rPr>
          <w:rFonts w:ascii="Arial" w:hAnsi="Arial"/>
          <w:b/>
          <w:color w:val="000000"/>
          <w:sz w:val="20"/>
        </w:rPr>
        <w:t>6. Accrued Liabilities</w:t>
      </w:r>
    </w:p>
    <w:p>
      <w:pPr>
        <w:pStyle w:val="TextBody"/>
        <w:bidi w:val="0"/>
        <w:spacing w:before="120" w:after="120"/>
        <w:jc w:val="both"/>
        <w:rPr>
          <w:rFonts w:ascii="Arial" w:hAnsi="Arial"/>
          <w:color w:val="000000"/>
          <w:sz w:val="20"/>
        </w:rPr>
      </w:pPr>
      <w:r>
        <w:rPr>
          <w:rFonts w:ascii="Arial" w:hAnsi="Arial"/>
          <w:color w:val="000000"/>
          <w:sz w:val="20"/>
        </w:rPr>
        <w:t>The composition of accrued liabilities is as follows:</w:t>
      </w:r>
    </w:p>
    <w:tbl>
      <w:tblPr>
        <w:tblW w:w="6577" w:type="dxa"/>
        <w:jc w:val="left"/>
        <w:tblInd w:w="0" w:type="dxa"/>
        <w:tblLayout w:type="fixed"/>
        <w:tblCellMar>
          <w:top w:w="28" w:type="dxa"/>
          <w:left w:w="28" w:type="dxa"/>
          <w:bottom w:w="28" w:type="dxa"/>
          <w:right w:w="28" w:type="dxa"/>
        </w:tblCellMar>
      </w:tblPr>
      <w:tblGrid>
        <w:gridCol w:w="3541"/>
        <w:gridCol w:w="146"/>
        <w:gridCol w:w="211"/>
        <w:gridCol w:w="691"/>
        <w:gridCol w:w="146"/>
        <w:gridCol w:w="146"/>
        <w:gridCol w:w="319"/>
        <w:gridCol w:w="1046"/>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9"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Payroll and employee-related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15,455</w:t>
            </w:r>
          </w:p>
        </w:tc>
        <w:tc>
          <w:tcPr>
            <w:tcW w:w="33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54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120" w:after="283"/>
        <w:jc w:val="both"/>
        <w:rPr>
          <w:rFonts w:ascii="Times New Roman" w:hAnsi="Times New Roman"/>
          <w:sz w:val="20"/>
        </w:rPr>
      </w:pPr>
      <w:r>
        <w:rPr>
          <w:rFonts w:ascii="Arial" w:hAnsi="Arial"/>
          <w:b/>
          <w:i/>
          <w:color w:val="000000"/>
          <w:sz w:val="20"/>
        </w:rPr>
        <w:t>Other Commitments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w:t>
      </w:r>
    </w:p>
    <w:p>
      <w:pPr>
        <w:pStyle w:val="TextBody"/>
        <w:bidi w:val="0"/>
        <w:spacing w:before="12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to the Company's contractual obligations or commitments outside of the ordinary course of business as compared to those described in the 2023 Form 10-K.</w:t>
      </w:r>
    </w:p>
    <w:p>
      <w:pPr>
        <w:pStyle w:val="TextBody"/>
        <w:bidi w:val="0"/>
        <w:spacing w:before="120" w:after="283"/>
        <w:jc w:val="both"/>
        <w:rPr>
          <w:rFonts w:ascii="Arial" w:hAnsi="Arial"/>
          <w:b/>
          <w:i/>
          <w:color w:val="000000"/>
          <w:sz w:val="20"/>
        </w:rPr>
      </w:pPr>
      <w:r>
        <w:rPr>
          <w:rFonts w:ascii="Arial" w:hAnsi="Arial"/>
          <w:b/>
          <w:i/>
          <w:color w:val="000000"/>
          <w:sz w:val="20"/>
        </w:rPr>
        <w:t>Legal Matters</w:t>
      </w:r>
    </w:p>
    <w:p>
      <w:pPr>
        <w:pStyle w:val="TextBody"/>
        <w:bidi w:val="0"/>
        <w:spacing w:before="120" w:after="283"/>
        <w:jc w:val="both"/>
        <w:rPr>
          <w:rFonts w:ascii="Times New Roman" w:hAnsi="Times New Roman"/>
          <w:sz w:val="20"/>
        </w:rPr>
      </w:pPr>
      <w:r>
        <w:rPr>
          <w:rFonts w:ascii="Arial" w:hAnsi="Arial"/>
          <w:color w:val="000000"/>
          <w:sz w:val="20"/>
        </w:rPr>
        <w:t>The Company is involved from time to time in various claims and legal proceedings arising in the ordinary course of business. From time to time as appropriate, the Company accrues liabilities related to legal claims in its financial statements. While it is not feasible to predict or determine the ultimate outcome of these matters, the Company believes that, as of June 30, 2024, no current claims and legal proceedings will have a material adverse effect on its financial position, results of operations, or cash flows.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Indemnification</w:t>
      </w:r>
    </w:p>
    <w:p>
      <w:pPr>
        <w:pStyle w:val="TextBody"/>
        <w:bidi w:val="0"/>
        <w:spacing w:before="120" w:after="283"/>
        <w:jc w:val="both"/>
        <w:rPr>
          <w:rFonts w:ascii="Times New Roman" w:hAnsi="Times New Roman"/>
          <w:sz w:val="20"/>
        </w:rPr>
      </w:pPr>
      <w:r>
        <w:rPr>
          <w:rFonts w:ascii="Arial" w:hAnsi="Arial"/>
          <w:color w:val="000000"/>
          <w:sz w:val="20"/>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8. Equity</w:t>
      </w:r>
    </w:p>
    <w:p>
      <w:pPr>
        <w:pStyle w:val="TextBody"/>
        <w:bidi w:val="0"/>
        <w:spacing w:before="120" w:after="283"/>
        <w:jc w:val="left"/>
        <w:rPr>
          <w:rFonts w:ascii="Arial" w:hAnsi="Arial"/>
          <w:b/>
          <w:i/>
          <w:color w:val="000000"/>
          <w:sz w:val="20"/>
        </w:rPr>
      </w:pPr>
      <w:r>
        <w:rPr>
          <w:rFonts w:ascii="Arial" w:hAnsi="Arial"/>
          <w:b/>
          <w:i/>
          <w:color w:val="000000"/>
          <w:sz w:val="20"/>
        </w:rPr>
        <w:t>Warrant</w:t>
      </w:r>
    </w:p>
    <w:p>
      <w:pPr>
        <w:pStyle w:val="TextBody"/>
        <w:bidi w:val="0"/>
        <w:spacing w:before="120" w:after="283"/>
        <w:jc w:val="both"/>
        <w:rPr>
          <w:rFonts w:ascii="Times New Roman" w:hAnsi="Times New Roman"/>
          <w:sz w:val="20"/>
        </w:rPr>
      </w:pPr>
      <w:r>
        <w:rPr>
          <w:rFonts w:ascii="Arial" w:hAnsi="Arial"/>
          <w:color w:val="000000"/>
          <w:sz w:val="20"/>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w:t>
      </w:r>
      <w:r>
        <w:rPr>
          <w:rFonts w:ascii="Times New Roman" w:hAnsi="Times New Roman"/>
          <w:color w:val="000000"/>
          <w:sz w:val="20"/>
        </w:rPr>
        <w:t xml:space="preserve"> </w:t>
      </w:r>
      <w:r>
        <w:rPr>
          <w:rFonts w:ascii="Arial" w:hAnsi="Arial"/>
          <w:color w:val="000000"/>
          <w:sz w:val="20"/>
        </w:rPr>
        <w:t>shares of Class A common stock upon completion of the IPO at an exercise price of $18.38</w:t>
      </w:r>
      <w:r>
        <w:rPr>
          <w:rFonts w:ascii="Times New Roman" w:hAnsi="Times New Roman"/>
          <w:color w:val="000000"/>
          <w:sz w:val="20"/>
        </w:rPr>
        <w:t xml:space="preserve"> </w:t>
      </w:r>
      <w:r>
        <w:rPr>
          <w:rFonts w:ascii="Arial" w:hAnsi="Arial"/>
          <w:color w:val="000000"/>
          <w:sz w:val="20"/>
        </w:rPr>
        <w:t>per share (the “May 2021 warrant agreement”). Upon completion of the IPO, 382,027</w:t>
      </w:r>
      <w:r>
        <w:rPr>
          <w:rFonts w:ascii="Times New Roman" w:hAnsi="Times New Roman"/>
          <w:color w:val="000000"/>
          <w:sz w:val="20"/>
        </w:rPr>
        <w:t xml:space="preserve"> </w:t>
      </w:r>
      <w:r>
        <w:rPr>
          <w:rFonts w:ascii="Arial" w:hAnsi="Arial"/>
          <w:color w:val="000000"/>
          <w:sz w:val="20"/>
        </w:rPr>
        <w:t>of the warrant shares vested and were exercisable. The vesting of the remaining 127,343</w:t>
      </w:r>
      <w:r>
        <w:rPr>
          <w:rFonts w:ascii="Times New Roman" w:hAnsi="Times New Roman"/>
          <w:color w:val="000000"/>
          <w:sz w:val="20"/>
        </w:rPr>
        <w:t xml:space="preserve"> </w:t>
      </w:r>
      <w:r>
        <w:rPr>
          <w:rFonts w:ascii="Arial" w:hAnsi="Arial"/>
          <w:color w:val="000000"/>
          <w:sz w:val="20"/>
        </w:rPr>
        <w:t>shares of Class A common stock underlying the warrant will be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June 30, 2024, 448,880</w:t>
      </w:r>
      <w:r>
        <w:rPr>
          <w:rFonts w:ascii="Times New Roman" w:hAnsi="Times New Roman"/>
          <w:color w:val="000000"/>
          <w:sz w:val="20"/>
        </w:rPr>
        <w:t xml:space="preserve"> </w:t>
      </w:r>
      <w:r>
        <w:rPr>
          <w:rFonts w:ascii="Arial" w:hAnsi="Arial"/>
          <w:color w:val="000000"/>
          <w:sz w:val="20"/>
        </w:rPr>
        <w:t>warrant shares were vested and exercisable under the May 2021 warrant agreement.</w:t>
      </w:r>
    </w:p>
    <w:p>
      <w:pPr>
        <w:pStyle w:val="TextBody"/>
        <w:bidi w:val="0"/>
        <w:spacing w:before="120" w:after="283"/>
        <w:jc w:val="both"/>
        <w:rPr>
          <w:rFonts w:ascii="Times New Roman" w:hAnsi="Times New Roman"/>
          <w:sz w:val="20"/>
        </w:rPr>
      </w:pPr>
      <w:r>
        <w:rPr>
          <w:rFonts w:ascii="Arial" w:hAnsi="Arial"/>
          <w:color w:val="000000"/>
          <w:sz w:val="20"/>
        </w:rPr>
        <w:t>On August 29, 2022, the Company entered into a second warrant agreement with JPMC, in connection with an amendment to the Company's existing commercial agreement with JPM Chase discussed above, pursuant to which the Company issued a warrant to JPMC for up to 684,510</w:t>
      </w:r>
      <w:r>
        <w:rPr>
          <w:rFonts w:ascii="Times New Roman" w:hAnsi="Times New Roman"/>
          <w:color w:val="000000"/>
          <w:sz w:val="20"/>
        </w:rPr>
        <w:t xml:space="preserve"> </w:t>
      </w:r>
      <w:r>
        <w:rPr>
          <w:rFonts w:ascii="Arial" w:hAnsi="Arial"/>
          <w:color w:val="000000"/>
          <w:sz w:val="20"/>
        </w:rPr>
        <w:t>shares of Class A common stock at an exercise price of $10.10</w:t>
      </w:r>
      <w:r>
        <w:rPr>
          <w:rFonts w:ascii="Times New Roman" w:hAnsi="Times New Roman"/>
          <w:color w:val="000000"/>
          <w:sz w:val="20"/>
        </w:rPr>
        <w:t xml:space="preserve"> </w:t>
      </w:r>
      <w:r>
        <w:rPr>
          <w:rFonts w:ascii="Arial" w:hAnsi="Arial"/>
          <w:color w:val="000000"/>
          <w:sz w:val="20"/>
        </w:rPr>
        <w:t>per share (the “August 2022 warrant agreement”). Upon signing the August 2022 warrant agreement, 171,128</w:t>
      </w:r>
      <w:r>
        <w:rPr>
          <w:rFonts w:ascii="Times New Roman" w:hAnsi="Times New Roman"/>
          <w:color w:val="000000"/>
          <w:sz w:val="20"/>
        </w:rPr>
        <w:t xml:space="preserve"> </w:t>
      </w:r>
      <w:r>
        <w:rPr>
          <w:rFonts w:ascii="Arial" w:hAnsi="Arial"/>
          <w:color w:val="000000"/>
          <w:sz w:val="20"/>
        </w:rPr>
        <w:t>of the warrant shares vested and were exercisable. The vesting of the remaining 513,382</w:t>
      </w:r>
      <w:r>
        <w:rPr>
          <w:rFonts w:ascii="Times New Roman" w:hAnsi="Times New Roman"/>
          <w:color w:val="000000"/>
          <w:sz w:val="20"/>
        </w:rPr>
        <w:t xml:space="preserve"> </w:t>
      </w:r>
      <w:r>
        <w:rPr>
          <w:rFonts w:ascii="Arial" w:hAnsi="Arial"/>
          <w:color w:val="000000"/>
          <w:sz w:val="20"/>
        </w:rPr>
        <w:t>shares of Class A common stock underlying the warrant will be subject to the achievement of certain commercial milestones through December 31, 2026 pursuant to the commercial agreement, as amended. As of June 30, 2024 there were no additional warrant shares vested under the August 2022 warrant agreement.</w:t>
      </w:r>
    </w:p>
    <w:p>
      <w:pPr>
        <w:pStyle w:val="TextBody"/>
        <w:bidi w:val="0"/>
        <w:spacing w:before="120" w:after="283"/>
        <w:jc w:val="both"/>
        <w:rPr>
          <w:rFonts w:ascii="Times New Roman" w:hAnsi="Times New Roman"/>
          <w:sz w:val="20"/>
        </w:rPr>
      </w:pPr>
      <w:r>
        <w:rPr>
          <w:rFonts w:ascii="Arial" w:hAnsi="Arial"/>
          <w:color w:val="000000"/>
          <w:sz w:val="20"/>
        </w:rPr>
        <w:t>As of June 30, 2024, an aggregate of 620,008</w:t>
      </w:r>
      <w:r>
        <w:rPr>
          <w:rFonts w:ascii="Times New Roman" w:hAnsi="Times New Roman"/>
          <w:color w:val="000000"/>
          <w:sz w:val="20"/>
        </w:rPr>
        <w:t xml:space="preserve"> </w:t>
      </w:r>
      <w:r>
        <w:rPr>
          <w:rFonts w:ascii="Arial" w:hAnsi="Arial"/>
          <w:color w:val="000000"/>
          <w:sz w:val="20"/>
        </w:rPr>
        <w:t>warrants had vested and were exercisable under the outstanding warrant agreements.</w:t>
      </w:r>
    </w:p>
    <w:p>
      <w:pPr>
        <w:pStyle w:val="TextBody"/>
        <w:bidi w:val="0"/>
        <w:spacing w:before="120" w:after="283"/>
        <w:jc w:val="both"/>
        <w:rPr>
          <w:rFonts w:ascii="Times New Roman" w:hAnsi="Times New Roman"/>
          <w:sz w:val="20"/>
        </w:rPr>
      </w:pPr>
      <w:r>
        <w:rPr>
          <w:rFonts w:ascii="Arial" w:hAnsi="Arial"/>
          <w:color w:val="000000"/>
          <w:sz w:val="20"/>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hAnsi="Arial"/>
          <w:i/>
          <w:color w:val="000000"/>
          <w:sz w:val="20"/>
        </w:rPr>
        <w:t>Compensation-Stock Compensation.</w:t>
      </w:r>
    </w:p>
    <w:p>
      <w:pPr>
        <w:pStyle w:val="TextBody"/>
        <w:bidi w:val="0"/>
        <w:spacing w:before="240" w:after="283"/>
        <w:jc w:val="both"/>
        <w:rPr>
          <w:rFonts w:ascii="Arial" w:hAnsi="Arial"/>
          <w:b/>
          <w:color w:val="000000"/>
          <w:sz w:val="20"/>
        </w:rPr>
      </w:pPr>
      <w:r>
        <w:rPr>
          <w:rFonts w:ascii="Arial" w:hAnsi="Arial"/>
          <w:b/>
          <w:color w:val="000000"/>
          <w:sz w:val="20"/>
        </w:rPr>
        <w:t>9. Stock-Based Compensation</w:t>
      </w:r>
    </w:p>
    <w:p>
      <w:pPr>
        <w:pStyle w:val="TextBody"/>
        <w:bidi w:val="0"/>
        <w:spacing w:before="120" w:after="283"/>
        <w:jc w:val="both"/>
        <w:rPr>
          <w:rFonts w:ascii="Times New Roman" w:hAnsi="Times New Roman"/>
          <w:sz w:val="20"/>
        </w:rPr>
      </w:pPr>
      <w:r>
        <w:rPr>
          <w:rFonts w:ascii="Arial" w:hAnsi="Arial"/>
          <w:color w:val="000000"/>
          <w:sz w:val="20"/>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("IRC"),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approximately 10.5</w:t>
      </w:r>
      <w:r>
        <w:rPr>
          <w:rFonts w:ascii="Times New Roman" w:hAnsi="Times New Roman"/>
          <w:color w:val="000000"/>
          <w:sz w:val="20"/>
        </w:rPr>
        <w:t xml:space="preserve"> </w:t>
      </w:r>
      <w:r>
        <w:rPr>
          <w:rFonts w:ascii="Arial" w:hAnsi="Arial"/>
          <w:color w:val="000000"/>
          <w:sz w:val="20"/>
        </w:rPr>
        <w:t>million shares of the Company</w:t>
      </w:r>
      <w:r>
        <w:rPr>
          <w:rFonts w:ascii="Times New Roman" w:hAnsi="Times New Roman"/>
          <w:color w:val="000000"/>
          <w:sz w:val="20"/>
        </w:rPr>
        <w:t>’</w:t>
      </w:r>
      <w:r>
        <w:rPr>
          <w:rFonts w:ascii="Arial" w:hAnsi="Arial"/>
          <w:color w:val="000000"/>
          <w:sz w:val="20"/>
        </w:rPr>
        <w:t>s Class A common stock have been reserved for issuance under the 2021 Plan in addition to (i) an annual increase of 4% of the outstanding shares of the Company's common stock, with Class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7.6</w:t>
      </w:r>
      <w:r>
        <w:rPr>
          <w:rFonts w:ascii="Times New Roman" w:hAnsi="Times New Roman"/>
          <w:color w:val="000000"/>
          <w:sz w:val="20"/>
        </w:rPr>
        <w:t xml:space="preserve"> </w:t>
      </w:r>
      <w:r>
        <w:rPr>
          <w:rFonts w:ascii="Arial" w:hAnsi="Arial"/>
          <w:color w:val="000000"/>
          <w:sz w:val="20"/>
        </w:rPr>
        <w:t>million shares. On January 1, 2024, pursuant to the Evergreen Addition, approximately 5</w:t>
      </w:r>
      <w:r>
        <w:rPr>
          <w:rFonts w:ascii="Times New Roman" w:hAnsi="Times New Roman"/>
          <w:color w:val="000000"/>
          <w:sz w:val="20"/>
        </w:rPr>
        <w:t xml:space="preserve"> </w:t>
      </w:r>
      <w:r>
        <w:rPr>
          <w:rFonts w:ascii="Arial" w:hAnsi="Arial"/>
          <w:color w:val="000000"/>
          <w:sz w:val="20"/>
        </w:rPr>
        <w:t>million shares of Class A common stock were added to the 2021 Plan issuance reserve. At June 30, 2024, there were approximately 21.8</w:t>
      </w:r>
      <w:r>
        <w:rPr>
          <w:rFonts w:ascii="Times New Roman" w:hAnsi="Times New Roman"/>
          <w:color w:val="000000"/>
          <w:sz w:val="20"/>
        </w:rPr>
        <w:t xml:space="preserve"> </w:t>
      </w:r>
      <w:r>
        <w:rPr>
          <w:rFonts w:ascii="Arial" w:hAnsi="Arial"/>
          <w:color w:val="000000"/>
          <w:sz w:val="20"/>
        </w:rPr>
        <w:t>million remaining shares available for the Company to grant under the 2021 Plan.</w:t>
      </w:r>
    </w:p>
    <w:p>
      <w:pPr>
        <w:pStyle w:val="TextBody"/>
        <w:bidi w:val="0"/>
        <w:spacing w:before="120" w:after="283"/>
        <w:jc w:val="both"/>
        <w:rPr>
          <w:rFonts w:ascii="Arial" w:hAnsi="Arial"/>
          <w:b/>
          <w:i/>
          <w:color w:val="000000"/>
          <w:sz w:val="20"/>
        </w:rPr>
      </w:pPr>
      <w:r>
        <w:rPr>
          <w:rFonts w:ascii="Arial" w:hAnsi="Arial"/>
          <w:b/>
          <w:i/>
          <w:color w:val="000000"/>
          <w:sz w:val="20"/>
        </w:rPr>
        <w:t>Stock Options</w:t>
      </w:r>
    </w:p>
    <w:p>
      <w:pPr>
        <w:pStyle w:val="TextBody"/>
        <w:bidi w:val="0"/>
        <w:spacing w:before="120" w:after="120"/>
        <w:jc w:val="both"/>
        <w:rPr>
          <w:rFonts w:ascii="Times New Roman" w:hAnsi="Times New Roman"/>
          <w:sz w:val="20"/>
        </w:rPr>
      </w:pPr>
      <w:r>
        <w:rPr>
          <w:rFonts w:ascii="Arial" w:hAnsi="Arial"/>
          <w:color w:val="000000"/>
          <w:sz w:val="20"/>
        </w:rPr>
        <w:t>A summary of the Company</w:t>
      </w:r>
      <w:r>
        <w:rPr>
          <w:rFonts w:ascii="Times New Roman" w:hAnsi="Times New Roman"/>
          <w:color w:val="000000"/>
          <w:sz w:val="20"/>
        </w:rPr>
        <w:t>’</w:t>
      </w:r>
      <w:r>
        <w:rPr>
          <w:rFonts w:ascii="Arial" w:hAnsi="Arial"/>
          <w:color w:val="000000"/>
          <w:sz w:val="20"/>
        </w:rPr>
        <w:t>s option activity during the six months ended June 30, 2024 was as follows (in thousands, except for share and per share amount):</w:t>
      </w:r>
    </w:p>
    <w:tbl>
      <w:tblPr>
        <w:tblW w:w="9426" w:type="dxa"/>
        <w:jc w:val="left"/>
        <w:tblInd w:w="0" w:type="dxa"/>
        <w:tblLayout w:type="fixed"/>
        <w:tblCellMar>
          <w:top w:w="28" w:type="dxa"/>
          <w:left w:w="28" w:type="dxa"/>
          <w:bottom w:w="28" w:type="dxa"/>
          <w:right w:w="28" w:type="dxa"/>
        </w:tblCellMar>
      </w:tblPr>
      <w:tblGrid>
        <w:gridCol w:w="3151"/>
        <w:gridCol w:w="164"/>
        <w:gridCol w:w="1082"/>
        <w:gridCol w:w="166"/>
        <w:gridCol w:w="146"/>
        <w:gridCol w:w="438"/>
        <w:gridCol w:w="1002"/>
        <w:gridCol w:w="146"/>
        <w:gridCol w:w="146"/>
        <w:gridCol w:w="271"/>
        <w:gridCol w:w="900"/>
        <w:gridCol w:w="146"/>
        <w:gridCol w:w="146"/>
        <w:gridCol w:w="245"/>
        <w:gridCol w:w="806"/>
        <w:gridCol w:w="471"/>
      </w:tblGrid>
      <w:tr>
        <w:trPr/>
        <w:tc>
          <w:tcPr>
            <w:tcW w:w="31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Exercise 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Intrinsic</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Life </w:t>
            </w:r>
            <w:r>
              <w:rPr>
                <w:rFonts w:ascii="Arial" w:hAnsi="Arial"/>
                <w:b/>
                <w:i/>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2023</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3,849,350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38,505</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1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exercised</w:t>
            </w:r>
          </w:p>
        </w:tc>
        <w:tc>
          <w:tcPr>
            <w:tcW w:w="16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(183,521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forfeited</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2024</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39,468</w:t>
            </w:r>
          </w:p>
        </w:tc>
        <w:tc>
          <w:tcPr>
            <w:tcW w:w="47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3,627,571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39,106</w:t>
            </w:r>
          </w:p>
        </w:tc>
        <w:tc>
          <w:tcPr>
            <w:tcW w:w="47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options were granted or expired during the six months ended June 30, 2024. Aggregate intrinsic value represents the difference between the exercise price of the options and the fair value of the Company’s common stock.</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Restricted Stock Units (“RSUs”)</w:t>
      </w:r>
    </w:p>
    <w:p>
      <w:pPr>
        <w:pStyle w:val="TextBody"/>
        <w:bidi w:val="0"/>
        <w:spacing w:before="120" w:after="120"/>
        <w:jc w:val="both"/>
        <w:rPr>
          <w:rFonts w:ascii="Times New Roman" w:hAnsi="Times New Roman"/>
          <w:sz w:val="20"/>
        </w:rPr>
      </w:pPr>
      <w:r>
        <w:rPr>
          <w:rFonts w:ascii="Arial" w:hAnsi="Arial"/>
          <w:color w:val="000000"/>
          <w:sz w:val="20"/>
        </w:rPr>
        <w:t>A summary of the Company</w:t>
      </w:r>
      <w:r>
        <w:rPr>
          <w:rFonts w:ascii="Times New Roman" w:hAnsi="Times New Roman"/>
          <w:color w:val="000000"/>
          <w:sz w:val="20"/>
        </w:rPr>
        <w:t>’</w:t>
      </w:r>
      <w:r>
        <w:rPr>
          <w:rFonts w:ascii="Arial" w:hAnsi="Arial"/>
          <w:color w:val="000000"/>
          <w:sz w:val="20"/>
        </w:rPr>
        <w:t>s RSU activity during the six months ended June 30, 2024 was as follows:</w:t>
      </w:r>
    </w:p>
    <w:tbl>
      <w:tblPr>
        <w:tblW w:w="7190" w:type="dxa"/>
        <w:jc w:val="left"/>
        <w:tblInd w:w="0" w:type="dxa"/>
        <w:tblLayout w:type="fixed"/>
        <w:tblCellMar>
          <w:top w:w="28" w:type="dxa"/>
          <w:left w:w="28" w:type="dxa"/>
          <w:bottom w:w="28" w:type="dxa"/>
          <w:right w:w="28" w:type="dxa"/>
        </w:tblCellMar>
      </w:tblPr>
      <w:tblGrid>
        <w:gridCol w:w="4081"/>
        <w:gridCol w:w="164"/>
        <w:gridCol w:w="1082"/>
        <w:gridCol w:w="166"/>
        <w:gridCol w:w="146"/>
        <w:gridCol w:w="285"/>
        <w:gridCol w:w="795"/>
        <w:gridCol w:w="471"/>
      </w:tblGrid>
      <w:tr>
        <w:trPr/>
        <w:tc>
          <w:tcPr>
            <w:tcW w:w="40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47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47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RSUs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Grant Date</w:t>
            </w:r>
          </w:p>
        </w:tc>
        <w:tc>
          <w:tcPr>
            <w:tcW w:w="47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December 31, 2023</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1,946,006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0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granted</w:t>
            </w:r>
          </w:p>
        </w:tc>
        <w:tc>
          <w:tcPr>
            <w:tcW w:w="16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1,036,729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19.22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0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vested</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(468,347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12.09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0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forfeited</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June 30, 2024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2,359,561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The fair value of RSU grants is determined based upon the market closing price of the Company’s Class A common stock on the date of grant. RSUs vest over the requisite service period, which generally ranges between four years</w:t>
      </w:r>
      <w:r>
        <w:rPr>
          <w:rFonts w:ascii="Times New Roman" w:hAnsi="Times New Roman"/>
          <w:color w:val="000000"/>
          <w:sz w:val="20"/>
        </w:rPr>
        <w:t xml:space="preserve"> </w:t>
      </w:r>
      <w:r>
        <w:rPr>
          <w:rFonts w:ascii="Arial" w:hAnsi="Arial"/>
          <w:color w:val="000000"/>
          <w:sz w:val="20"/>
        </w:rPr>
        <w:t>and five years</w:t>
      </w:r>
      <w:r>
        <w:rPr>
          <w:rFonts w:ascii="Times New Roman" w:hAnsi="Times New Roman"/>
          <w:color w:val="000000"/>
          <w:sz w:val="20"/>
        </w:rPr>
        <w:t xml:space="preserve"> </w:t>
      </w:r>
      <w:r>
        <w:rPr>
          <w:rFonts w:ascii="Arial" w:hAnsi="Arial"/>
          <w:color w:val="000000"/>
          <w:sz w:val="20"/>
        </w:rPr>
        <w:t>from the date of grant for employees and one to three years for directors, subject to continued employment for employees and provision of services for non-employees.</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Stock-based compensation expense included in the condensed consolidated statements of operations and comprehensive income was as follows:</w:t>
      </w:r>
    </w:p>
    <w:tbl>
      <w:tblPr>
        <w:tblW w:w="9399" w:type="dxa"/>
        <w:jc w:val="left"/>
        <w:tblInd w:w="0" w:type="dxa"/>
        <w:tblLayout w:type="fixed"/>
        <w:tblCellMar>
          <w:top w:w="28" w:type="dxa"/>
          <w:left w:w="28" w:type="dxa"/>
          <w:bottom w:w="28" w:type="dxa"/>
          <w:right w:w="28" w:type="dxa"/>
        </w:tblCellMar>
      </w:tblPr>
      <w:tblGrid>
        <w:gridCol w:w="3096"/>
        <w:gridCol w:w="146"/>
        <w:gridCol w:w="322"/>
        <w:gridCol w:w="895"/>
        <w:gridCol w:w="223"/>
        <w:gridCol w:w="223"/>
        <w:gridCol w:w="322"/>
        <w:gridCol w:w="895"/>
        <w:gridCol w:w="146"/>
        <w:gridCol w:w="146"/>
        <w:gridCol w:w="297"/>
        <w:gridCol w:w="825"/>
        <w:gridCol w:w="205"/>
        <w:gridCol w:w="205"/>
        <w:gridCol w:w="297"/>
        <w:gridCol w:w="825"/>
        <w:gridCol w:w="33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6"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30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223"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331" w:type="dxa"/>
            <w:tcBorders/>
            <w:shd w:fill="CFF0FC" w:val="clear"/>
            <w:vAlign w:val="center"/>
          </w:tcPr>
          <w:p>
            <w:pPr>
              <w:pStyle w:val="TableContents"/>
              <w:bidi w:val="0"/>
              <w:spacing w:before="0" w:after="283"/>
              <w:jc w:val="left"/>
              <w:rPr/>
            </w:pPr>
            <w:r>
              <w:rPr/>
              <w:t> </w:t>
            </w:r>
          </w:p>
        </w:tc>
      </w:tr>
      <w:tr>
        <w:trPr/>
        <w:tc>
          <w:tcPr>
            <w:tcW w:w="30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846</w:t>
            </w:r>
          </w:p>
        </w:tc>
        <w:tc>
          <w:tcPr>
            <w:tcW w:w="223"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1,454</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1,009</w:t>
            </w:r>
          </w:p>
        </w:tc>
        <w:tc>
          <w:tcPr>
            <w:tcW w:w="331" w:type="dxa"/>
            <w:tcBorders/>
            <w:shd w:fill="FFFFFF" w:val="clear"/>
            <w:vAlign w:val="center"/>
          </w:tcPr>
          <w:p>
            <w:pPr>
              <w:pStyle w:val="TableContents"/>
              <w:bidi w:val="0"/>
              <w:spacing w:before="0" w:after="283"/>
              <w:jc w:val="left"/>
              <w:rPr/>
            </w:pPr>
            <w:r>
              <w:rPr/>
              <w:t> </w:t>
            </w:r>
          </w:p>
        </w:tc>
      </w:tr>
      <w:tr>
        <w:trPr/>
        <w:tc>
          <w:tcPr>
            <w:tcW w:w="30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1,494</w:t>
            </w:r>
          </w:p>
        </w:tc>
        <w:tc>
          <w:tcPr>
            <w:tcW w:w="223"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2,804</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331" w:type="dxa"/>
            <w:tcBorders/>
            <w:shd w:fill="CFF0FC" w:val="clear"/>
            <w:vAlign w:val="center"/>
          </w:tcPr>
          <w:p>
            <w:pPr>
              <w:pStyle w:val="TableContents"/>
              <w:bidi w:val="0"/>
              <w:spacing w:before="0" w:after="283"/>
              <w:jc w:val="left"/>
              <w:rPr/>
            </w:pPr>
            <w:r>
              <w:rPr/>
              <w:t> </w:t>
            </w:r>
          </w:p>
        </w:tc>
      </w:tr>
      <w:tr>
        <w:trPr/>
        <w:tc>
          <w:tcPr>
            <w:tcW w:w="30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09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3,323</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6,256</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At June 30, 2024, there was $0.1</w:t>
      </w:r>
      <w:r>
        <w:rPr>
          <w:rFonts w:ascii="Times New Roman" w:hAnsi="Times New Roman"/>
          <w:color w:val="000000"/>
          <w:sz w:val="20"/>
        </w:rPr>
        <w:t xml:space="preserve"> </w:t>
      </w:r>
      <w:r>
        <w:rPr>
          <w:rFonts w:ascii="Arial" w:hAnsi="Arial"/>
          <w:color w:val="000000"/>
          <w:sz w:val="20"/>
        </w:rPr>
        <w:t>million of total unrecognized compensation cost related to unvested stock options granted under the 2012 Equity Incentive Plan, which is expected to be recognized over a remaining weighted-average period of 1.3</w:t>
      </w:r>
      <w:r>
        <w:rPr>
          <w:rFonts w:ascii="Times New Roman" w:hAnsi="Times New Roman"/>
          <w:color w:val="000000"/>
          <w:sz w:val="20"/>
        </w:rPr>
        <w:t xml:space="preserve"> </w:t>
      </w:r>
      <w:r>
        <w:rPr>
          <w:rFonts w:ascii="Arial" w:hAnsi="Arial"/>
          <w:color w:val="000000"/>
          <w:sz w:val="20"/>
        </w:rPr>
        <w:t>years.</w:t>
      </w:r>
    </w:p>
    <w:p>
      <w:pPr>
        <w:pStyle w:val="TextBody"/>
        <w:bidi w:val="0"/>
        <w:spacing w:before="120" w:after="283"/>
        <w:jc w:val="both"/>
        <w:rPr>
          <w:rFonts w:ascii="Times New Roman" w:hAnsi="Times New Roman"/>
          <w:sz w:val="20"/>
        </w:rPr>
      </w:pPr>
      <w:r>
        <w:rPr>
          <w:rFonts w:ascii="Arial" w:hAnsi="Arial"/>
          <w:color w:val="000000"/>
          <w:sz w:val="20"/>
        </w:rPr>
        <w:t>At June 30, 2024, there was $35.1</w:t>
      </w:r>
      <w:r>
        <w:rPr>
          <w:rFonts w:ascii="Times New Roman" w:hAnsi="Times New Roman"/>
          <w:color w:val="000000"/>
          <w:sz w:val="20"/>
        </w:rPr>
        <w:t xml:space="preserve"> </w:t>
      </w:r>
      <w:r>
        <w:rPr>
          <w:rFonts w:ascii="Arial" w:hAnsi="Arial"/>
          <w:color w:val="000000"/>
          <w:sz w:val="20"/>
        </w:rPr>
        <w:t>million of total unrecognized compensation cost related to unvested RSUs granted under the 2021 Plan, which is expected to be recognized over a remaining weighted-average period of 3.6 years.</w:t>
      </w:r>
    </w:p>
    <w:p>
      <w:pPr>
        <w:pStyle w:val="TextBody"/>
        <w:bidi w:val="0"/>
        <w:spacing w:before="12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10. Income Taxes</w:t>
      </w:r>
    </w:p>
    <w:p>
      <w:pPr>
        <w:pStyle w:val="TextBody"/>
        <w:bidi w:val="0"/>
        <w:spacing w:before="120" w:after="283"/>
        <w:jc w:val="both"/>
        <w:rPr>
          <w:rFonts w:ascii="Times New Roman" w:hAnsi="Times New Roman"/>
          <w:sz w:val="20"/>
        </w:rPr>
      </w:pPr>
      <w:r>
        <w:rPr>
          <w:rFonts w:ascii="Arial" w:hAnsi="Arial"/>
          <w:color w:val="000000"/>
          <w:sz w:val="20"/>
        </w:rPr>
        <w:t>The Company computes its tax provision for the three and six months ended June 30, 2024 by applying the estimated annual effective tax rate to year-to-date income from recurring operations and adjusting for discrete items arising in that quarter. The Company continues to record a valuation allowance against its net deferred tax assets (“DTA”) in the U.S. as it is not more likely than not to be realized given the significant tax deductions for stock-based compensation recognized in previous years that have created cumulative losses in recent years.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Company’s effective tax rate for the three and six months ended June 30, 2024 was 24.9%</w:t>
      </w:r>
      <w:r>
        <w:rPr>
          <w:rFonts w:ascii="Times New Roman" w:hAnsi="Times New Roman"/>
          <w:color w:val="000000"/>
          <w:sz w:val="20"/>
        </w:rPr>
        <w:t xml:space="preserve"> </w:t>
      </w:r>
      <w:r>
        <w:rPr>
          <w:rFonts w:ascii="Arial" w:hAnsi="Arial"/>
          <w:color w:val="000000"/>
          <w:sz w:val="20"/>
        </w:rPr>
        <w:t>and 28.6%, respectively, and for the three and six months ended June 30, 2023 was 7.0% and 2.7%, respectively. The difference between the Company’s effective tax rate and the U.S. federal statutory rate of 21% in the above periods was primarily the result of permanent differences for disallowed stock-based compensation pursuant to IRC Section 162(m), state taxes and the impact of the full valuation allowance. In 2023, it was primarily the result of near break-even pre-tax income from operations, state taxes and the impact of the full valuation allowance and other permanent adjustments in addition to a return to provision benefit recorded in connection with a change in estimate of costs required to be capitalized under IRC Section 174.</w:t>
      </w:r>
    </w:p>
    <w:p>
      <w:pPr>
        <w:pStyle w:val="TextBody"/>
        <w:bidi w:val="0"/>
        <w:spacing w:before="240" w:after="283"/>
        <w:jc w:val="left"/>
        <w:rPr>
          <w:rFonts w:ascii="Arial" w:hAnsi="Arial"/>
          <w:b/>
          <w:color w:val="000000"/>
          <w:sz w:val="20"/>
        </w:rPr>
      </w:pPr>
      <w:r>
        <w:rPr>
          <w:rFonts w:ascii="Arial" w:hAnsi="Arial"/>
          <w:b/>
          <w:color w:val="000000"/>
          <w:sz w:val="20"/>
        </w:rPr>
        <w:t>11. Net Income per Share Attributable to Common Stock</w:t>
      </w:r>
    </w:p>
    <w:p>
      <w:pPr>
        <w:pStyle w:val="TextBody"/>
        <w:bidi w:val="0"/>
        <w:spacing w:before="120" w:after="283"/>
        <w:jc w:val="both"/>
        <w:rPr>
          <w:rFonts w:ascii="Arial" w:hAnsi="Arial"/>
          <w:color w:val="000000"/>
          <w:sz w:val="20"/>
        </w:rPr>
      </w:pPr>
      <w:r>
        <w:rPr>
          <w:rFonts w:ascii="Arial" w:hAnsi="Arial"/>
          <w:color w:val="000000"/>
          <w:sz w:val="20"/>
        </w:rPr>
        <w:t>Basic net income per share attributable to common stock is computed by dividing net income for the period by the weighted average number of common shares outstanding during the period.</w:t>
      </w:r>
    </w:p>
    <w:p>
      <w:pPr>
        <w:pStyle w:val="TextBody"/>
        <w:bidi w:val="0"/>
        <w:spacing w:before="120" w:after="283"/>
        <w:jc w:val="both"/>
        <w:rPr>
          <w:rFonts w:ascii="Times New Roman" w:hAnsi="Times New Roman"/>
          <w:sz w:val="20"/>
        </w:rPr>
      </w:pPr>
      <w:r>
        <w:rPr>
          <w:rFonts w:ascii="Arial" w:hAnsi="Arial"/>
          <w:color w:val="000000"/>
          <w:sz w:val="20"/>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pStyle w:val="TextBody"/>
        <w:bidi w:val="0"/>
        <w:spacing w:before="120" w:after="120"/>
        <w:jc w:val="both"/>
        <w:rPr>
          <w:rFonts w:ascii="Arial" w:hAnsi="Arial"/>
          <w:color w:val="000000"/>
          <w:sz w:val="20"/>
        </w:rPr>
      </w:pPr>
      <w:r>
        <w:rPr>
          <w:rFonts w:ascii="Arial" w:hAnsi="Arial"/>
          <w:color w:val="000000"/>
          <w:sz w:val="20"/>
        </w:rPr>
        <w:t>The following table sets forth the computation of basic and diluted net income per share attributable to common stock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3628"/>
        <w:gridCol w:w="211"/>
        <w:gridCol w:w="1171"/>
        <w:gridCol w:w="146"/>
        <w:gridCol w:w="211"/>
        <w:gridCol w:w="1171"/>
        <w:gridCol w:w="146"/>
        <w:gridCol w:w="211"/>
        <w:gridCol w:w="1171"/>
        <w:gridCol w:w="146"/>
        <w:gridCol w:w="211"/>
        <w:gridCol w:w="1171"/>
        <w:gridCol w:w="611"/>
      </w:tblGrid>
      <w:tr>
        <w:trPr/>
        <w:tc>
          <w:tcPr>
            <w:tcW w:w="3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28" w:type="dxa"/>
            <w:tcBorders/>
            <w:shd w:fill="FFFFFF" w:val="clear"/>
            <w:vAlign w:val="center"/>
          </w:tcPr>
          <w:p>
            <w:pPr>
              <w:pStyle w:val="TableContents"/>
              <w:bidi w:val="0"/>
              <w:spacing w:before="0" w:after="283"/>
              <w:jc w:val="center"/>
              <w:rPr/>
            </w:pPr>
            <w:r>
              <w:rPr/>
              <w:t> </w:t>
            </w:r>
          </w:p>
        </w:tc>
        <w:tc>
          <w:tcPr>
            <w:tcW w:w="2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8"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362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income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6,543</w:t>
            </w:r>
          </w:p>
        </w:tc>
        <w:tc>
          <w:tcPr>
            <w:tcW w:w="611" w:type="dxa"/>
            <w:tcBorders/>
            <w:shd w:fill="FFFFFF" w:val="clear"/>
            <w:vAlign w:val="center"/>
          </w:tcPr>
          <w:p>
            <w:pPr>
              <w:pStyle w:val="TableContents"/>
              <w:bidi w:val="0"/>
              <w:spacing w:before="0" w:after="283"/>
              <w:jc w:val="left"/>
              <w:rPr/>
            </w:pPr>
            <w:r>
              <w:rPr/>
              <w:t> </w:t>
            </w:r>
          </w:p>
        </w:tc>
      </w:tr>
      <w:tr>
        <w:trPr/>
        <w:tc>
          <w:tcPr>
            <w:tcW w:w="36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3628"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Weighted-average shares of common stock — basic</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124,264,789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123,378,128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124,106,046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123,334,277</w:t>
            </w:r>
          </w:p>
        </w:tc>
        <w:tc>
          <w:tcPr>
            <w:tcW w:w="611" w:type="dxa"/>
            <w:tcBorders/>
            <w:shd w:fill="FFFFFF" w:val="clear"/>
            <w:vAlign w:val="center"/>
          </w:tcPr>
          <w:p>
            <w:pPr>
              <w:pStyle w:val="TableContents"/>
              <w:bidi w:val="0"/>
              <w:spacing w:before="0" w:after="283"/>
              <w:ind w:left="0" w:right="0" w:firstLine="420"/>
              <w:jc w:val="left"/>
              <w:rPr/>
            </w:pPr>
            <w:r>
              <w:rPr/>
              <w:t> </w:t>
            </w:r>
          </w:p>
        </w:tc>
      </w:tr>
      <w:tr>
        <w:trPr/>
        <w:tc>
          <w:tcPr>
            <w:tcW w:w="3628"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stock options to purchase common stock</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2,167,559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521,818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2,157,147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445,183</w:t>
            </w:r>
          </w:p>
        </w:tc>
        <w:tc>
          <w:tcPr>
            <w:tcW w:w="611" w:type="dxa"/>
            <w:tcBorders/>
            <w:shd w:fill="CFF0FC" w:val="clear"/>
            <w:vAlign w:val="center"/>
          </w:tcPr>
          <w:p>
            <w:pPr>
              <w:pStyle w:val="TableContents"/>
              <w:bidi w:val="0"/>
              <w:spacing w:before="0" w:after="283"/>
              <w:ind w:left="0" w:right="0" w:firstLine="420"/>
              <w:jc w:val="left"/>
              <w:rPr/>
            </w:pPr>
            <w:r>
              <w:rPr/>
              <w:t> </w:t>
            </w:r>
          </w:p>
        </w:tc>
      </w:tr>
      <w:tr>
        <w:trPr/>
        <w:tc>
          <w:tcPr>
            <w:tcW w:w="3628"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RSUs</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709,580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112,161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721,860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57,355</w:t>
            </w:r>
          </w:p>
        </w:tc>
        <w:tc>
          <w:tcPr>
            <w:tcW w:w="611" w:type="dxa"/>
            <w:tcBorders/>
            <w:shd w:fill="FFFFFF" w:val="clear"/>
            <w:vAlign w:val="center"/>
          </w:tcPr>
          <w:p>
            <w:pPr>
              <w:pStyle w:val="TableContents"/>
              <w:bidi w:val="0"/>
              <w:spacing w:before="0" w:after="283"/>
              <w:ind w:left="0" w:right="0" w:firstLine="420"/>
              <w:jc w:val="left"/>
              <w:rPr/>
            </w:pPr>
            <w:r>
              <w:rPr/>
              <w:t> </w:t>
            </w:r>
          </w:p>
        </w:tc>
      </w:tr>
      <w:tr>
        <w:trPr/>
        <w:tc>
          <w:tcPr>
            <w:tcW w:w="3628"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warrants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28"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Weighted-average shares of common stock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127,252,366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124,012,107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127,074,921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123,836,815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per share</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362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Basic</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611" w:type="dxa"/>
            <w:tcBorders/>
            <w:shd w:fill="FFFFFF" w:val="clear"/>
            <w:vAlign w:val="center"/>
          </w:tcPr>
          <w:p>
            <w:pPr>
              <w:pStyle w:val="TableContents"/>
              <w:bidi w:val="0"/>
              <w:spacing w:before="0" w:after="283"/>
              <w:ind w:left="0" w:right="0" w:firstLine="280"/>
              <w:jc w:val="left"/>
              <w:rPr/>
            </w:pPr>
            <w:r>
              <w:rPr/>
              <w:t> </w:t>
            </w:r>
          </w:p>
        </w:tc>
      </w:tr>
      <w:tr>
        <w:trPr/>
        <w:tc>
          <w:tcPr>
            <w:tcW w:w="362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Diluted</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following table summarizes the weighted average securities that were excluded from the computation of diluted net income per share attributable to common stock as their inclusion would have been antidilutive:</w:t>
      </w:r>
    </w:p>
    <w:tbl>
      <w:tblPr>
        <w:tblW w:w="9619" w:type="dxa"/>
        <w:jc w:val="left"/>
        <w:tblInd w:w="0" w:type="dxa"/>
        <w:tblLayout w:type="fixed"/>
        <w:tblCellMar>
          <w:top w:w="28" w:type="dxa"/>
          <w:left w:w="28" w:type="dxa"/>
          <w:bottom w:w="28" w:type="dxa"/>
          <w:right w:w="28" w:type="dxa"/>
        </w:tblCellMar>
      </w:tblPr>
      <w:tblGrid>
        <w:gridCol w:w="3751"/>
        <w:gridCol w:w="191"/>
        <w:gridCol w:w="1044"/>
        <w:gridCol w:w="191"/>
        <w:gridCol w:w="191"/>
        <w:gridCol w:w="1261"/>
        <w:gridCol w:w="146"/>
        <w:gridCol w:w="176"/>
        <w:gridCol w:w="963"/>
        <w:gridCol w:w="176"/>
        <w:gridCol w:w="176"/>
        <w:gridCol w:w="1162"/>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28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9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211,922</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color w:val="000000"/>
              </w:rPr>
            </w:pPr>
            <w:r>
              <w:rPr>
                <w:color w:val="000000"/>
              </w:rPr>
              <w:t>—</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3,578,915</w:t>
            </w:r>
          </w:p>
        </w:tc>
        <w:tc>
          <w:tcPr>
            <w:tcW w:w="1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RSUs</w:t>
            </w:r>
          </w:p>
        </w:tc>
        <w:tc>
          <w:tcPr>
            <w:tcW w:w="19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206,514</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1,260,566</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205,176</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1,285,901</w:t>
            </w:r>
          </w:p>
        </w:tc>
        <w:tc>
          <w:tcPr>
            <w:tcW w:w="19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Warrants</w:t>
            </w:r>
          </w:p>
        </w:tc>
        <w:tc>
          <w:tcPr>
            <w:tcW w:w="19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588,173</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color w:val="000000"/>
              </w:rPr>
            </w:pPr>
            <w:r>
              <w:rPr>
                <w:color w:val="000000"/>
              </w:rPr>
              <w:t>—</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588,173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Arial" w:hAnsi="Arial"/>
          <w:b/>
          <w:color w:val="000000"/>
          <w:sz w:val="20"/>
        </w:rPr>
      </w:pPr>
      <w:bookmarkStart w:id="13" w:name="item_2_managements_discussion"/>
      <w:bookmarkEnd w:id="13"/>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leading provider of cloud-based bill payment technology and solutions. We deliver our next-generation product suite through a modern technology stack to more than 2,200 biller business and financial institution clients. Our platform was used by approximately 34 million consumers and businesses in North America in December 2023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healthcare and education.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pStyle w:val="TextBody"/>
        <w:bidi w:val="0"/>
        <w:spacing w:before="120" w:after="283"/>
        <w:jc w:val="both"/>
        <w:rPr>
          <w:rFonts w:ascii="Arial" w:hAnsi="Arial"/>
          <w:color w:val="000000"/>
          <w:sz w:val="20"/>
        </w:rPr>
      </w:pPr>
      <w:r>
        <w:rPr>
          <w:rFonts w:ascii="Arial" w:hAnsi="Arial"/>
          <w:color w:val="000000"/>
          <w:sz w:val="20"/>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pStyle w:val="TextBody"/>
        <w:bidi w:val="0"/>
        <w:spacing w:before="120" w:after="120"/>
        <w:jc w:val="both"/>
        <w:rPr>
          <w:rFonts w:ascii="Times New Roman" w:hAnsi="Times New Roman"/>
          <w:sz w:val="20"/>
        </w:rPr>
      </w:pPr>
      <w:r>
        <w:rPr>
          <w:rFonts w:ascii="Arial" w:hAnsi="Arial"/>
          <w:b/>
          <w:color w:val="000000"/>
          <w:sz w:val="20"/>
        </w:rPr>
        <w:t>Transactions Processed</w:t>
      </w:r>
      <w:r>
        <w:rPr>
          <w:rFonts w:ascii="Times New Roman" w:hAnsi="Times New Roman"/>
          <w:color w:val="000000"/>
          <w:sz w:val="20"/>
        </w:rPr>
        <w:t xml:space="preserve"> </w:t>
      </w:r>
    </w:p>
    <w:tbl>
      <w:tblPr>
        <w:tblW w:w="9263" w:type="dxa"/>
        <w:jc w:val="left"/>
        <w:tblInd w:w="0" w:type="dxa"/>
        <w:tblLayout w:type="fixed"/>
        <w:tblCellMar>
          <w:top w:w="28" w:type="dxa"/>
          <w:left w:w="28" w:type="dxa"/>
          <w:bottom w:w="28" w:type="dxa"/>
          <w:right w:w="28" w:type="dxa"/>
        </w:tblCellMar>
      </w:tblPr>
      <w:tblGrid>
        <w:gridCol w:w="2206"/>
        <w:gridCol w:w="157"/>
        <w:gridCol w:w="631"/>
        <w:gridCol w:w="157"/>
        <w:gridCol w:w="157"/>
        <w:gridCol w:w="157"/>
        <w:gridCol w:w="631"/>
        <w:gridCol w:w="157"/>
        <w:gridCol w:w="157"/>
        <w:gridCol w:w="237"/>
        <w:gridCol w:w="784"/>
        <w:gridCol w:w="286"/>
        <w:gridCol w:w="146"/>
        <w:gridCol w:w="146"/>
        <w:gridCol w:w="586"/>
        <w:gridCol w:w="146"/>
        <w:gridCol w:w="146"/>
        <w:gridCol w:w="146"/>
        <w:gridCol w:w="586"/>
        <w:gridCol w:w="146"/>
        <w:gridCol w:w="146"/>
        <w:gridCol w:w="237"/>
        <w:gridCol w:w="784"/>
        <w:gridCol w:w="331"/>
      </w:tblGrid>
      <w:tr>
        <w:trPr/>
        <w:tc>
          <w:tcPr>
            <w:tcW w:w="22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32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Growth</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Growth</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1890"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157"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Transactions processed</w:t>
            </w:r>
          </w:p>
        </w:tc>
        <w:tc>
          <w:tcPr>
            <w:tcW w:w="157"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140.4</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109.5</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both"/>
        <w:rPr>
          <w:rFonts w:ascii="Times New Roman" w:hAnsi="Times New Roman"/>
          <w:sz w:val="20"/>
        </w:rPr>
      </w:pPr>
      <w:r>
        <w:rPr>
          <w:rFonts w:ascii="Arial" w:hAnsi="Arial"/>
          <w:color w:val="000000"/>
          <w:sz w:val="20"/>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increase in the number of transactions processed during the three and six months ended June 30, 2024 as compared to the same periods in 2023 was primarily driven by the addition of new billers and financial institutions and increased transactions from our existing billers and financial institutions.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Other Key Factors and Trends Affecting Our Operating Results</w:t>
      </w:r>
    </w:p>
    <w:p>
      <w:pPr>
        <w:pStyle w:val="TextBody"/>
        <w:bidi w:val="0"/>
        <w:spacing w:before="120" w:after="283"/>
        <w:jc w:val="both"/>
        <w:rPr>
          <w:rFonts w:ascii="Arial" w:hAnsi="Arial"/>
          <w:color w:val="000000"/>
          <w:sz w:val="20"/>
        </w:rPr>
      </w:pPr>
      <w:r>
        <w:rPr>
          <w:rFonts w:ascii="Arial" w:hAnsi="Arial"/>
          <w:color w:val="000000"/>
          <w:sz w:val="20"/>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2023 or, the "2023 Form 10-K".</w:t>
      </w:r>
    </w:p>
    <w:p>
      <w:pPr>
        <w:pStyle w:val="TextBody"/>
        <w:bidi w:val="0"/>
        <w:spacing w:before="120" w:after="283"/>
        <w:jc w:val="both"/>
        <w:rPr>
          <w:rFonts w:ascii="Arial" w:hAnsi="Arial"/>
          <w:i/>
          <w:color w:val="000000"/>
          <w:sz w:val="20"/>
        </w:rPr>
      </w:pPr>
      <w:r>
        <w:rPr>
          <w:rFonts w:ascii="Arial" w:hAnsi="Arial"/>
          <w:i/>
          <w:color w:val="000000"/>
          <w:sz w:val="20"/>
        </w:rPr>
        <w:t>Impact of Economic and Inflationary Trends</w:t>
      </w:r>
    </w:p>
    <w:p>
      <w:pPr>
        <w:pStyle w:val="TextBody"/>
        <w:bidi w:val="0"/>
        <w:spacing w:before="120" w:after="283"/>
        <w:jc w:val="both"/>
        <w:rPr>
          <w:rFonts w:ascii="Arial" w:hAnsi="Arial"/>
          <w:color w:val="000000"/>
          <w:sz w:val="20"/>
        </w:rPr>
      </w:pPr>
      <w:r>
        <w:rPr>
          <w:rFonts w:ascii="Arial" w:hAnsi="Arial"/>
          <w:color w:val="000000"/>
          <w:sz w:val="20"/>
        </w:rPr>
        <w:t>Inflationary pressures continue to be volatile, and although we have experienced a general overall improvement and more normalized inflation in comparison to the trailing annual trends, the economic uncertainty and inflationary conditions continue to remain high and could have an adverse impact on our performance during the remainder of 2024. Inflationary pressure is resulting in higher average bills, particularly in the utility sector, and increased interchange fees. Where appropriate, we seek to adjust our prices to address the inflationary pressures, however our ability to do so typically lags behind the impact of inflation on our clients. While we made several price adjustments as a result of the inflationary impacts on our business, we will continue to monitor and manage the economic environment for the remainder of 2024 by working closely with clients on implementations and further price adjustments as necessary.</w:t>
      </w:r>
    </w:p>
    <w:p>
      <w:pPr>
        <w:pStyle w:val="TextBody"/>
        <w:bidi w:val="0"/>
        <w:spacing w:before="120" w:after="283"/>
        <w:jc w:val="left"/>
        <w:rPr>
          <w:rFonts w:ascii="Arial" w:hAnsi="Arial"/>
          <w:b/>
          <w:color w:val="000000"/>
          <w:sz w:val="20"/>
        </w:rPr>
      </w:pPr>
      <w:r>
        <w:rPr>
          <w:rFonts w:ascii="Arial" w:hAnsi="Arial"/>
          <w:b/>
          <w:color w:val="000000"/>
          <w:sz w:val="20"/>
        </w:rPr>
        <w:t>Non-GAAP Measures</w:t>
      </w:r>
    </w:p>
    <w:p>
      <w:pPr>
        <w:pStyle w:val="TextBody"/>
        <w:bidi w:val="0"/>
        <w:spacing w:before="120" w:after="283"/>
        <w:jc w:val="both"/>
        <w:rPr>
          <w:rFonts w:ascii="Times New Roman" w:hAnsi="Times New Roman"/>
          <w:sz w:val="20"/>
        </w:rPr>
      </w:pPr>
      <w:r>
        <w:rPr>
          <w:rFonts w:ascii="Arial" w:hAnsi="Arial"/>
          <w:color w:val="000000"/>
          <w:sz w:val="20"/>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i/>
          <w:color w:val="000000"/>
          <w:sz w:val="20"/>
        </w:rPr>
      </w:pPr>
      <w:r>
        <w:rPr>
          <w:rFonts w:ascii="Arial" w:hAnsi="Arial"/>
          <w:i/>
          <w:color w:val="000000"/>
          <w:sz w:val="20"/>
        </w:rPr>
        <w:t>Contribution Profit</w:t>
      </w:r>
    </w:p>
    <w:p>
      <w:pPr>
        <w:pStyle w:val="TextBody"/>
        <w:bidi w:val="0"/>
        <w:spacing w:before="120" w:after="283"/>
        <w:jc w:val="both"/>
        <w:rPr>
          <w:rFonts w:ascii="Times New Roman" w:hAnsi="Times New Roman"/>
          <w:sz w:val="20"/>
        </w:rPr>
      </w:pPr>
      <w:r>
        <w:rPr>
          <w:rFonts w:ascii="Arial" w:hAnsi="Arial"/>
          <w:color w:val="000000"/>
          <w:sz w:val="20"/>
        </w:rPr>
        <w:t>We calculate contribution profit as gross profit plus other cost of revenue. Other cost of revenue equals cost of revenue less interchange and assessment fees paid by us to our payment processors.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gross profit as gross profit adjusted for non-cash items, primarily stock-based compensation and amortization of acquisition-related intangible assets and capitalized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EBITDA as net income before other income (expense) (which consists of interest income (expense), net, other non-recurring income), depreciation and amortization of acquisition-related intangible assets and capitalized software development costs, and income taxes, adjusted to exclude the effects of net and foreign exchange gain (loss), stock-based compensation expense and certain nonrecurring expenses that management believes are not indicative of ongoing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Free Cash Flow</w:t>
      </w:r>
    </w:p>
    <w:p>
      <w:pPr>
        <w:pStyle w:val="TextBody"/>
        <w:bidi w:val="0"/>
        <w:spacing w:before="120" w:after="283"/>
        <w:jc w:val="both"/>
        <w:rPr>
          <w:rFonts w:ascii="Times New Roman" w:hAnsi="Times New Roman"/>
          <w:sz w:val="20"/>
        </w:rPr>
      </w:pPr>
      <w:r>
        <w:rPr>
          <w:rFonts w:ascii="Arial" w:hAnsi="Arial"/>
          <w:color w:val="000000"/>
          <w:sz w:val="20"/>
        </w:rPr>
        <w:t>We calculate free cash flow as net cash provided by (used in) operating activities less capital expenditures, other intangible assets acquired, and capitalized internal-use software development costs.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How we use Non-GAAP Measures</w:t>
      </w:r>
    </w:p>
    <w:p>
      <w:pPr>
        <w:pStyle w:val="TextBody"/>
        <w:bidi w:val="0"/>
        <w:spacing w:before="120" w:after="283"/>
        <w:jc w:val="both"/>
        <w:rPr>
          <w:rFonts w:ascii="Arial" w:hAnsi="Arial"/>
          <w:color w:val="000000"/>
          <w:sz w:val="20"/>
        </w:rPr>
      </w:pPr>
      <w:r>
        <w:rPr>
          <w:rFonts w:ascii="Arial" w:hAnsi="Arial"/>
          <w:color w:val="000000"/>
          <w:sz w:val="20"/>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product or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pStyle w:val="TextBody"/>
        <w:bidi w:val="0"/>
        <w:spacing w:before="120" w:after="283"/>
        <w:jc w:val="both"/>
        <w:rPr>
          <w:rFonts w:ascii="Times New Roman" w:hAnsi="Times New Roman"/>
          <w:sz w:val="20"/>
        </w:rPr>
      </w:pPr>
      <w:r>
        <w:rPr>
          <w:rFonts w:ascii="Arial" w:hAnsi="Arial"/>
          <w:color w:val="000000"/>
          <w:sz w:val="20"/>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r>
        <w:rPr>
          <w:rFonts w:ascii="Times New Roman" w:hAnsi="Times New Roman"/>
          <w:color w:val="000000"/>
          <w:sz w:val="20"/>
        </w:rPr>
        <w:t xml:space="preserve"> </w:t>
      </w:r>
    </w:p>
    <w:p>
      <w:pPr>
        <w:pStyle w:val="TextBody"/>
        <w:bidi w:val="0"/>
        <w:spacing w:before="120" w:after="120"/>
        <w:jc w:val="both"/>
        <w:rPr>
          <w:rFonts w:ascii="Arial" w:hAnsi="Arial"/>
          <w:i/>
          <w:color w:val="000000"/>
          <w:sz w:val="20"/>
        </w:rPr>
      </w:pPr>
      <w:r>
        <w:rPr>
          <w:rFonts w:ascii="Arial" w:hAnsi="Arial"/>
          <w:i/>
          <w:color w:val="000000"/>
          <w:sz w:val="20"/>
        </w:rPr>
        <w:t>Contribution Profit</w:t>
      </w:r>
    </w:p>
    <w:tbl>
      <w:tblPr>
        <w:tblW w:w="8771" w:type="dxa"/>
        <w:jc w:val="left"/>
        <w:tblInd w:w="0" w:type="dxa"/>
        <w:tblLayout w:type="fixed"/>
        <w:tblCellMar>
          <w:top w:w="28" w:type="dxa"/>
          <w:left w:w="28" w:type="dxa"/>
          <w:bottom w:w="28" w:type="dxa"/>
          <w:right w:w="28" w:type="dxa"/>
        </w:tblCellMar>
      </w:tblPr>
      <w:tblGrid>
        <w:gridCol w:w="2616"/>
        <w:gridCol w:w="290"/>
        <w:gridCol w:w="949"/>
        <w:gridCol w:w="200"/>
        <w:gridCol w:w="200"/>
        <w:gridCol w:w="290"/>
        <w:gridCol w:w="949"/>
        <w:gridCol w:w="146"/>
        <w:gridCol w:w="146"/>
        <w:gridCol w:w="243"/>
        <w:gridCol w:w="916"/>
        <w:gridCol w:w="168"/>
        <w:gridCol w:w="168"/>
        <w:gridCol w:w="243"/>
        <w:gridCol w:w="916"/>
        <w:gridCol w:w="331"/>
      </w:tblGrid>
      <w:tr>
        <w:trPr/>
        <w:tc>
          <w:tcPr>
            <w:tcW w:w="2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left"/>
              <w:rPr/>
            </w:pPr>
            <w:r>
              <w:rPr/>
              <w:t> </w:t>
            </w:r>
          </w:p>
        </w:tc>
        <w:tc>
          <w:tcPr>
            <w:tcW w:w="2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left"/>
              <w:rPr/>
            </w:pPr>
            <w:r>
              <w:rPr/>
              <w:t> </w:t>
            </w:r>
          </w:p>
        </w:tc>
        <w:tc>
          <w:tcPr>
            <w:tcW w:w="5824"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Gross profit</w:t>
            </w:r>
          </w:p>
        </w:tc>
        <w:tc>
          <w:tcPr>
            <w:tcW w:w="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58,751</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111,476</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85,940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26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Plus: other cost of revenue</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27,181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Contribution profit</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76,481</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145,848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113,121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six months ended June 30, 2024 increased approximately 28.3%, and 28.9%, respectively, as compared to the same periods in 2023. The increase was primarily driven by growth in transaction count and volume driven by the addition of new billers and financial institutions and increased transactions from our existing billers and financial institutions, together with pricing improvements from customers related to our inflation management and the implementation of certain cost improvement measures.</w:t>
      </w:r>
    </w:p>
    <w:p>
      <w:pPr>
        <w:pStyle w:val="TextBody"/>
        <w:bidi w:val="0"/>
        <w:spacing w:before="12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130"/>
        <w:gridCol w:w="266"/>
        <w:gridCol w:w="873"/>
        <w:gridCol w:w="184"/>
        <w:gridCol w:w="184"/>
        <w:gridCol w:w="266"/>
        <w:gridCol w:w="873"/>
        <w:gridCol w:w="286"/>
        <w:gridCol w:w="286"/>
        <w:gridCol w:w="241"/>
        <w:gridCol w:w="912"/>
        <w:gridCol w:w="167"/>
        <w:gridCol w:w="167"/>
        <w:gridCol w:w="241"/>
        <w:gridCol w:w="791"/>
        <w:gridCol w:w="338"/>
      </w:tblGrid>
      <w:tr>
        <w:trPr/>
        <w:tc>
          <w:tcPr>
            <w:tcW w:w="41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FFFFFF" w:val="clear"/>
            <w:vAlign w:val="center"/>
          </w:tcPr>
          <w:p>
            <w:pPr>
              <w:pStyle w:val="TableContents"/>
              <w:bidi w:val="0"/>
              <w:spacing w:before="0" w:after="283"/>
              <w:jc w:val="left"/>
              <w:rPr/>
            </w:pPr>
            <w:r>
              <w:rPr/>
              <w:t> </w:t>
            </w:r>
          </w:p>
        </w:tc>
        <w:tc>
          <w:tcPr>
            <w:tcW w:w="2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5737"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8" w:type="dxa"/>
            <w:tcBorders/>
            <w:shd w:fill="FFFFFF" w:val="clear"/>
            <w:vAlign w:val="center"/>
          </w:tcPr>
          <w:p>
            <w:pPr>
              <w:pStyle w:val="TableContents"/>
              <w:bidi w:val="0"/>
              <w:spacing w:before="0" w:after="283"/>
              <w:jc w:val="center"/>
              <w:rPr/>
            </w:pPr>
            <w:r>
              <w:rPr/>
              <w:t> </w:t>
            </w:r>
          </w:p>
        </w:tc>
      </w:tr>
      <w:tr>
        <w:trPr/>
        <w:tc>
          <w:tcPr>
            <w:tcW w:w="413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58,751</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45,862</w:t>
            </w:r>
          </w:p>
        </w:tc>
        <w:tc>
          <w:tcPr>
            <w:tcW w:w="28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111,476</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85,940</w:t>
            </w:r>
          </w:p>
        </w:tc>
        <w:tc>
          <w:tcPr>
            <w:tcW w:w="338" w:type="dxa"/>
            <w:tcBorders/>
            <w:shd w:fill="CFF0FC" w:val="clear"/>
            <w:vAlign w:val="center"/>
          </w:tcPr>
          <w:p>
            <w:pPr>
              <w:pStyle w:val="TableContents"/>
              <w:bidi w:val="0"/>
              <w:spacing w:before="0" w:after="283"/>
              <w:ind w:left="0" w:right="0" w:firstLine="140"/>
              <w:jc w:val="left"/>
              <w:rPr/>
            </w:pPr>
            <w:r>
              <w:rPr/>
              <w:t> </w:t>
            </w:r>
          </w:p>
        </w:tc>
      </w:tr>
      <w:tr>
        <w:trPr/>
        <w:tc>
          <w:tcPr>
            <w:tcW w:w="413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w:t>
            </w:r>
          </w:p>
        </w:tc>
        <w:tc>
          <w:tcPr>
            <w:tcW w:w="26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FFFFFF" w:val="cle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338" w:type="dxa"/>
            <w:tcBorders/>
            <w:shd w:fill="FFFFFF" w:val="clear"/>
            <w:vAlign w:val="center"/>
          </w:tcPr>
          <w:p>
            <w:pPr>
              <w:pStyle w:val="TableContents"/>
              <w:bidi w:val="0"/>
              <w:spacing w:before="0" w:after="283"/>
              <w:ind w:left="0" w:right="0" w:firstLine="140"/>
              <w:jc w:val="left"/>
              <w:rPr/>
            </w:pPr>
            <w:r>
              <w:rPr/>
              <w:t> </w:t>
            </w:r>
          </w:p>
        </w:tc>
      </w:tr>
      <w:tr>
        <w:trPr/>
        <w:tc>
          <w:tcPr>
            <w:tcW w:w="413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capitalized software development costs</w:t>
            </w:r>
          </w:p>
        </w:tc>
        <w:tc>
          <w:tcPr>
            <w:tcW w:w="26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4,366</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3,241</w:t>
            </w:r>
          </w:p>
        </w:tc>
        <w:tc>
          <w:tcPr>
            <w:tcW w:w="286" w:type="dxa"/>
            <w:tcBorders/>
            <w:shd w:fill="CFF0FC" w:val="clear"/>
            <w:vAlign w:val="center"/>
          </w:tcPr>
          <w:p>
            <w:pPr>
              <w:pStyle w:val="TableContents"/>
              <w:bidi w:val="0"/>
              <w:spacing w:before="0" w:after="283"/>
              <w:ind w:left="0" w:right="0" w:firstLine="140"/>
              <w:jc w:val="left"/>
              <w:rPr/>
            </w:pPr>
            <w:r>
              <w:rPr/>
              <w:t> </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8,395</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5,980</w:t>
            </w:r>
          </w:p>
        </w:tc>
        <w:tc>
          <w:tcPr>
            <w:tcW w:w="338" w:type="dxa"/>
            <w:tcBorders/>
            <w:shd w:fill="CFF0FC" w:val="clear"/>
            <w:vAlign w:val="center"/>
          </w:tcPr>
          <w:p>
            <w:pPr>
              <w:pStyle w:val="TableContents"/>
              <w:bidi w:val="0"/>
              <w:spacing w:before="0" w:after="283"/>
              <w:ind w:left="0" w:right="0" w:firstLine="140"/>
              <w:jc w:val="left"/>
              <w:rPr/>
            </w:pPr>
            <w:r>
              <w:rPr/>
              <w:t> </w:t>
            </w:r>
          </w:p>
        </w:tc>
      </w:tr>
      <w:tr>
        <w:trPr/>
        <w:tc>
          <w:tcPr>
            <w:tcW w:w="413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acquisition-related intangibles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1,657</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gross profit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64,011</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49,961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121,645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93,651</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Adjusted gross profit for the three and six months ended June 30, 2024 increased 28.1% and 29.9%, respectively, as compared to the same periods in 2023. Adjusted gross profit improved in line with contribution profit. Adjusted gross profit as a percentage of contribution profit was stable for the three months ended June 30, 2024 and as a result of economies of scale, improved for the six months ended June 30, 2024. Adjusted gross profit is driven primarily by the same factors that impact gross profit with the exception of excluding the amortization and stock-based compensation recorded in cost of revenue. The increase in amortization was driven by additional capitalization of software costs.</w:t>
      </w:r>
    </w:p>
    <w:p>
      <w:pPr>
        <w:pStyle w:val="TextBody"/>
        <w:bidi w:val="0"/>
        <w:spacing w:before="120" w:after="120"/>
        <w:jc w:val="left"/>
        <w:rPr>
          <w:rFonts w:ascii="Arial" w:hAnsi="Arial"/>
          <w:i/>
          <w:color w:val="000000"/>
          <w:sz w:val="20"/>
        </w:rPr>
      </w:pPr>
      <w:r>
        <w:rPr>
          <w:rFonts w:ascii="Arial" w:hAnsi="Arial"/>
          <w:i/>
          <w:color w:val="000000"/>
          <w:sz w:val="20"/>
        </w:rPr>
        <w:t>Adjusted EBITDA</w:t>
      </w:r>
    </w:p>
    <w:tbl>
      <w:tblPr>
        <w:tblW w:w="10205" w:type="dxa"/>
        <w:jc w:val="left"/>
        <w:tblInd w:w="0" w:type="dxa"/>
        <w:tblLayout w:type="fixed"/>
        <w:tblCellMar>
          <w:top w:w="28" w:type="dxa"/>
          <w:left w:w="28" w:type="dxa"/>
          <w:bottom w:w="28" w:type="dxa"/>
          <w:right w:w="28" w:type="dxa"/>
        </w:tblCellMar>
      </w:tblPr>
      <w:tblGrid>
        <w:gridCol w:w="4315"/>
        <w:gridCol w:w="269"/>
        <w:gridCol w:w="881"/>
        <w:gridCol w:w="211"/>
        <w:gridCol w:w="185"/>
        <w:gridCol w:w="269"/>
        <w:gridCol w:w="881"/>
        <w:gridCol w:w="166"/>
        <w:gridCol w:w="146"/>
        <w:gridCol w:w="251"/>
        <w:gridCol w:w="825"/>
        <w:gridCol w:w="198"/>
        <w:gridCol w:w="174"/>
        <w:gridCol w:w="251"/>
        <w:gridCol w:w="825"/>
        <w:gridCol w:w="358"/>
      </w:tblGrid>
      <w:tr>
        <w:trPr/>
        <w:tc>
          <w:tcPr>
            <w:tcW w:w="43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315" w:type="dxa"/>
            <w:tcBorders/>
            <w:shd w:fill="FFFFFF" w:val="cle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5" w:type="dxa"/>
            <w:tcBorders/>
            <w:shd w:fill="FFFFFF" w:val="cle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5" w:type="dxa"/>
            <w:tcBorders/>
            <w:shd w:fill="FFFFFF" w:val="clear"/>
            <w:vAlign w:val="center"/>
          </w:tcPr>
          <w:p>
            <w:pPr>
              <w:pStyle w:val="TableContents"/>
              <w:bidi w:val="0"/>
              <w:spacing w:before="0" w:after="283"/>
              <w:jc w:val="left"/>
              <w:rPr/>
            </w:pPr>
            <w:r>
              <w:rPr/>
              <w:t> </w:t>
            </w:r>
          </w:p>
        </w:tc>
        <w:tc>
          <w:tcPr>
            <w:tcW w:w="5532"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8" w:type="dxa"/>
            <w:tcBorders/>
            <w:shd w:fill="FFFFFF" w:val="clear"/>
            <w:vAlign w:val="center"/>
          </w:tcPr>
          <w:p>
            <w:pPr>
              <w:pStyle w:val="TableContents"/>
              <w:bidi w:val="0"/>
              <w:spacing w:before="0" w:after="283"/>
              <w:jc w:val="center"/>
              <w:rPr/>
            </w:pPr>
            <w:r>
              <w:rPr/>
              <w:t> </w:t>
            </w:r>
          </w:p>
        </w:tc>
      </w:tr>
      <w:tr>
        <w:trPr/>
        <w:tc>
          <w:tcPr>
            <w:tcW w:w="431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 GAAP</w:t>
            </w:r>
          </w:p>
        </w:tc>
        <w:tc>
          <w:tcPr>
            <w:tcW w:w="2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6,543</w:t>
            </w:r>
          </w:p>
        </w:tc>
        <w:tc>
          <w:tcPr>
            <w:tcW w:w="358" w:type="dxa"/>
            <w:tcBorders/>
            <w:shd w:fill="CFF0FC" w:val="clear"/>
            <w:vAlign w:val="center"/>
          </w:tcPr>
          <w:p>
            <w:pPr>
              <w:pStyle w:val="TableContents"/>
              <w:bidi w:val="0"/>
              <w:spacing w:before="0" w:after="283"/>
              <w:ind w:left="0" w:right="0" w:firstLine="140"/>
              <w:jc w:val="left"/>
              <w:rPr/>
            </w:pPr>
            <w:r>
              <w:rPr/>
              <w:t> </w:t>
            </w:r>
          </w:p>
        </w:tc>
      </w:tr>
      <w:tr>
        <w:trPr/>
        <w:tc>
          <w:tcPr>
            <w:tcW w:w="431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(2,194</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(4,380</w:t>
            </w:r>
          </w:p>
        </w:tc>
        <w:tc>
          <w:tcPr>
            <w:tcW w:w="1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(3,098</w:t>
            </w:r>
          </w:p>
        </w:tc>
        <w:tc>
          <w:tcPr>
            <w:tcW w:w="358"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15" w:type="dxa"/>
            <w:tcBorders/>
            <w:shd w:fill="CFF0FC"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Other income </w:t>
            </w:r>
            <w:r>
              <w:rPr>
                <w:rFonts w:ascii="Arial" w:hAnsi="Arial"/>
                <w:color w:val="000000"/>
                <w:sz w:val="13"/>
              </w:rPr>
              <w:t>(1)</w:t>
            </w:r>
          </w:p>
        </w:tc>
        <w:tc>
          <w:tcPr>
            <w:tcW w:w="26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358" w:type="dxa"/>
            <w:tcBorders/>
            <w:shd w:fill="CFF0FC" w:val="clear"/>
            <w:vAlign w:val="center"/>
          </w:tcPr>
          <w:p>
            <w:pPr>
              <w:pStyle w:val="TableContents"/>
              <w:bidi w:val="0"/>
              <w:spacing w:before="0" w:after="283"/>
              <w:ind w:left="0" w:right="0" w:firstLine="140"/>
              <w:jc w:val="left"/>
              <w:rPr/>
            </w:pPr>
            <w:r>
              <w:rPr/>
              <w:t> </w:t>
            </w:r>
          </w:p>
        </w:tc>
      </w:tr>
      <w:tr>
        <w:trPr/>
        <w:tc>
          <w:tcPr>
            <w:tcW w:w="431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6,639</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358" w:type="dxa"/>
            <w:tcBorders/>
            <w:shd w:fill="FFFFFF" w:val="clear"/>
            <w:vAlign w:val="center"/>
          </w:tcPr>
          <w:p>
            <w:pPr>
              <w:pStyle w:val="TableContents"/>
              <w:bidi w:val="0"/>
              <w:spacing w:before="0" w:after="283"/>
              <w:ind w:left="0" w:right="0" w:firstLine="140"/>
              <w:jc w:val="left"/>
              <w:rPr/>
            </w:pPr>
            <w:r>
              <w:rPr/>
              <w:t> </w:t>
            </w:r>
          </w:p>
        </w:tc>
      </w:tr>
      <w:tr>
        <w:trPr/>
        <w:tc>
          <w:tcPr>
            <w:tcW w:w="431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capitalized software development costs</w:t>
            </w:r>
          </w:p>
        </w:tc>
        <w:tc>
          <w:tcPr>
            <w:tcW w:w="26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6,739</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13,050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9,813</w:t>
            </w:r>
          </w:p>
        </w:tc>
        <w:tc>
          <w:tcPr>
            <w:tcW w:w="358" w:type="dxa"/>
            <w:tcBorders/>
            <w:shd w:fill="CFF0FC" w:val="clear"/>
            <w:vAlign w:val="center"/>
          </w:tcPr>
          <w:p>
            <w:pPr>
              <w:pStyle w:val="TableContents"/>
              <w:bidi w:val="0"/>
              <w:spacing w:before="0" w:after="283"/>
              <w:ind w:left="0" w:right="0" w:firstLine="140"/>
              <w:jc w:val="left"/>
              <w:rPr/>
            </w:pPr>
            <w:r>
              <w:rPr/>
              <w:t> </w:t>
            </w:r>
          </w:p>
        </w:tc>
      </w:tr>
      <w:tr>
        <w:trPr/>
        <w:tc>
          <w:tcPr>
            <w:tcW w:w="431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acquisition-related intangibles</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2,020</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4,264</w:t>
            </w:r>
          </w:p>
        </w:tc>
        <w:tc>
          <w:tcPr>
            <w:tcW w:w="358" w:type="dxa"/>
            <w:tcBorders/>
            <w:shd w:fill="FFFFFF" w:val="clear"/>
            <w:vAlign w:val="center"/>
          </w:tcPr>
          <w:p>
            <w:pPr>
              <w:pStyle w:val="TableContents"/>
              <w:bidi w:val="0"/>
              <w:spacing w:before="0" w:after="283"/>
              <w:ind w:left="0" w:right="0" w:firstLine="140"/>
              <w:jc w:val="left"/>
              <w:rPr/>
            </w:pPr>
            <w:r>
              <w:rPr/>
              <w:t> </w:t>
            </w:r>
          </w:p>
        </w:tc>
      </w:tr>
      <w:tr>
        <w:trPr/>
        <w:tc>
          <w:tcPr>
            <w:tcW w:w="431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36,142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18,169</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283"/>
              <w:jc w:val="left"/>
              <w:rPr/>
            </w:pPr>
            <w:r>
              <w:rPr/>
              <w:t> </w:t>
            </w:r>
          </w:p>
        </w:tc>
        <w:tc>
          <w:tcPr>
            <w:tcW w:w="115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5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r>
      <w:tr>
        <w:trPr/>
        <w:tc>
          <w:tcPr>
            <w:tcW w:w="4315" w:type="dxa"/>
            <w:tcBorders/>
            <w:shd w:fill="CFF0FC"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Adjustments</w:t>
            </w:r>
          </w:p>
        </w:tc>
        <w:tc>
          <w:tcPr>
            <w:tcW w:w="115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15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6" w:type="dxa"/>
            <w:gridSpan w:val="2"/>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76" w:type="dxa"/>
            <w:gridSpan w:val="2"/>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ind w:left="0" w:right="0" w:firstLine="140"/>
              <w:jc w:val="left"/>
              <w:rPr/>
            </w:pPr>
            <w:r>
              <w:rPr/>
              <w:t> </w:t>
            </w:r>
          </w:p>
        </w:tc>
      </w:tr>
      <w:tr>
        <w:trPr/>
        <w:tc>
          <w:tcPr>
            <w:tcW w:w="431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exchange (gain) loss</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58" w:type="dxa"/>
            <w:tcBorders/>
            <w:shd w:fill="FFFFFF" w:val="clear"/>
            <w:vAlign w:val="center"/>
          </w:tcPr>
          <w:p>
            <w:pPr>
              <w:pStyle w:val="TableContents"/>
              <w:bidi w:val="0"/>
              <w:spacing w:before="0" w:after="283"/>
              <w:ind w:left="0" w:right="0" w:firstLine="140"/>
              <w:jc w:val="left"/>
              <w:rPr/>
            </w:pPr>
            <w:r>
              <w:rPr/>
              <w:t> </w:t>
            </w:r>
          </w:p>
        </w:tc>
      </w:tr>
      <w:tr>
        <w:trPr/>
        <w:tc>
          <w:tcPr>
            <w:tcW w:w="431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4,435</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42,341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22,619</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19"/>
        </w:rPr>
        <w:t>Other income consists of a remeasurement adjustment relating to the purchase price of a prior acquisition.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Adjusted EBITDA is a measure of profitability and generally is expected to move in line with revenue, contribution profit, gross profit and adjusted gross profit. Adjusted EBITDA increased 58.6% and 87.2% in the three and six months ended June 30, 2024, respectively, as compared to the same periods in 2023. The increase was primarily driven by growth in transaction count and volume driven by the addition of new billers and financial institutions and increased transactions from our existing billers and financial institutions, together with pricing improvements from customers related to our inflation management and the implementation of certain cost improvement measures.</w:t>
      </w:r>
    </w:p>
    <w:p>
      <w:pPr>
        <w:pStyle w:val="TextBody"/>
        <w:bidi w:val="0"/>
        <w:spacing w:before="120" w:after="120"/>
        <w:jc w:val="left"/>
        <w:rPr>
          <w:rFonts w:ascii="Arial" w:hAnsi="Arial"/>
          <w:i/>
          <w:color w:val="000000"/>
          <w:sz w:val="20"/>
        </w:rPr>
      </w:pPr>
      <w:r>
        <w:rPr>
          <w:rFonts w:ascii="Arial" w:hAnsi="Arial"/>
          <w:i/>
          <w:color w:val="000000"/>
          <w:sz w:val="20"/>
        </w:rPr>
        <w:t>Free Cash Flow</w:t>
      </w:r>
    </w:p>
    <w:tbl>
      <w:tblPr>
        <w:tblW w:w="10205" w:type="dxa"/>
        <w:jc w:val="left"/>
        <w:tblInd w:w="0" w:type="dxa"/>
        <w:tblLayout w:type="fixed"/>
        <w:tblCellMar>
          <w:top w:w="28" w:type="dxa"/>
          <w:left w:w="28" w:type="dxa"/>
          <w:bottom w:w="28" w:type="dxa"/>
          <w:right w:w="28" w:type="dxa"/>
        </w:tblCellMar>
      </w:tblPr>
      <w:tblGrid>
        <w:gridCol w:w="4187"/>
        <w:gridCol w:w="275"/>
        <w:gridCol w:w="902"/>
        <w:gridCol w:w="216"/>
        <w:gridCol w:w="190"/>
        <w:gridCol w:w="275"/>
        <w:gridCol w:w="902"/>
        <w:gridCol w:w="166"/>
        <w:gridCol w:w="146"/>
        <w:gridCol w:w="244"/>
        <w:gridCol w:w="870"/>
        <w:gridCol w:w="192"/>
        <w:gridCol w:w="168"/>
        <w:gridCol w:w="244"/>
        <w:gridCol w:w="870"/>
        <w:gridCol w:w="358"/>
      </w:tblGrid>
      <w:tr>
        <w:trPr/>
        <w:tc>
          <w:tcPr>
            <w:tcW w:w="41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187" w:type="dxa"/>
            <w:tcBorders/>
            <w:shd w:fill="FFFFFF" w:val="clear"/>
            <w:vAlign w:val="center"/>
          </w:tcPr>
          <w:p>
            <w:pPr>
              <w:pStyle w:val="TableContents"/>
              <w:bidi w:val="0"/>
              <w:spacing w:before="0" w:after="283"/>
              <w:jc w:val="left"/>
              <w:rPr/>
            </w:pPr>
            <w:r>
              <w:rPr/>
              <w:t> </w:t>
            </w:r>
          </w:p>
        </w:tc>
        <w:tc>
          <w:tcPr>
            <w:tcW w:w="2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58" w:type="dxa"/>
            <w:tcBorders/>
            <w:shd w:fill="FFFFFF" w:val="clear"/>
            <w:vAlign w:val="center"/>
          </w:tcPr>
          <w:p>
            <w:pPr>
              <w:pStyle w:val="TableContents"/>
              <w:bidi w:val="0"/>
              <w:spacing w:before="0" w:after="283"/>
              <w:jc w:val="center"/>
              <w:rPr/>
            </w:pPr>
            <w:r>
              <w:rPr/>
              <w:t> </w:t>
            </w:r>
          </w:p>
        </w:tc>
      </w:tr>
      <w:tr>
        <w:trPr/>
        <w:tc>
          <w:tcPr>
            <w:tcW w:w="4187" w:type="dxa"/>
            <w:tcBorders/>
            <w:shd w:fill="FFFFFF" w:val="cle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87" w:type="dxa"/>
            <w:tcBorders/>
            <w:shd w:fill="FFFFFF" w:val="clear"/>
            <w:vAlign w:val="center"/>
          </w:tcPr>
          <w:p>
            <w:pPr>
              <w:pStyle w:val="TableContents"/>
              <w:bidi w:val="0"/>
              <w:spacing w:before="0" w:after="283"/>
              <w:jc w:val="left"/>
              <w:rPr/>
            </w:pPr>
            <w:r>
              <w:rPr/>
              <w:t> </w:t>
            </w:r>
          </w:p>
        </w:tc>
        <w:tc>
          <w:tcPr>
            <w:tcW w:w="5660" w:type="dxa"/>
            <w:gridSpan w:val="14"/>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8" w:type="dxa"/>
            <w:tcBorders/>
            <w:shd w:fill="FFFFFF" w:val="clear"/>
            <w:vAlign w:val="center"/>
          </w:tcPr>
          <w:p>
            <w:pPr>
              <w:pStyle w:val="TableContents"/>
              <w:bidi w:val="0"/>
              <w:spacing w:before="0" w:after="283"/>
              <w:jc w:val="center"/>
              <w:rPr/>
            </w:pPr>
            <w:r>
              <w:rPr/>
              <w:t> </w:t>
            </w:r>
          </w:p>
        </w:tc>
      </w:tr>
      <w:tr>
        <w:trPr/>
        <w:tc>
          <w:tcPr>
            <w:tcW w:w="41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18,030</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28,984</w:t>
            </w:r>
          </w:p>
        </w:tc>
        <w:tc>
          <w:tcPr>
            <w:tcW w:w="19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31,244</w:t>
            </w:r>
          </w:p>
        </w:tc>
        <w:tc>
          <w:tcPr>
            <w:tcW w:w="358" w:type="dxa"/>
            <w:tcBorders/>
            <w:shd w:fill="CFF0FC" w:val="clear"/>
            <w:vAlign w:val="center"/>
          </w:tcPr>
          <w:p>
            <w:pPr>
              <w:pStyle w:val="TableContents"/>
              <w:bidi w:val="0"/>
              <w:spacing w:before="0" w:after="283"/>
              <w:ind w:left="0" w:right="0" w:firstLine="140"/>
              <w:jc w:val="left"/>
              <w:rPr/>
            </w:pPr>
            <w:r>
              <w:rPr/>
              <w:t> </w:t>
            </w:r>
          </w:p>
        </w:tc>
      </w:tr>
      <w:tr>
        <w:trPr/>
        <w:tc>
          <w:tcPr>
            <w:tcW w:w="4187"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Purchases of property and equipment and software</w:t>
            </w:r>
          </w:p>
        </w:tc>
        <w:tc>
          <w:tcPr>
            <w:tcW w:w="275"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358"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8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Capitalized software development costs</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(18,362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(16,611</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87"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Free cash flow</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8,756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10,318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14,280</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(9,276</w:t>
            </w:r>
          </w:p>
        </w:tc>
        <w:tc>
          <w:tcPr>
            <w:tcW w:w="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(8,678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(18,789</w:t>
            </w:r>
          </w:p>
        </w:tc>
        <w:tc>
          <w:tcPr>
            <w:tcW w:w="1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(16,964</w:t>
            </w:r>
          </w:p>
        </w:tc>
        <w:tc>
          <w:tcPr>
            <w:tcW w:w="35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8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w:t>
            </w:r>
          </w:p>
        </w:tc>
        <w:tc>
          <w:tcPr>
            <w:tcW w:w="27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(1,610</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The decrease in free cash flow for the three and six months ended June 30, 2024, as compared to the same periods in 2023, was primarily as a result of decreases in cash generated from operations.</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Results of Operations</w:t>
      </w:r>
    </w:p>
    <w:p>
      <w:pPr>
        <w:pStyle w:val="TextBody"/>
        <w:bidi w:val="0"/>
        <w:spacing w:before="240" w:after="120"/>
        <w:jc w:val="both"/>
        <w:rPr>
          <w:rFonts w:ascii="Arial" w:hAnsi="Arial"/>
          <w:color w:val="000000"/>
          <w:sz w:val="20"/>
        </w:rPr>
      </w:pPr>
      <w:r>
        <w:rPr>
          <w:rFonts w:ascii="Arial" w:hAnsi="Arial"/>
          <w:color w:val="000000"/>
          <w:sz w:val="20"/>
        </w:rPr>
        <w:t>The following table sets forth our condensed consolidated statements of operations for the periods presented:</w:t>
      </w:r>
    </w:p>
    <w:tbl>
      <w:tblPr>
        <w:tblW w:w="11221" w:type="dxa"/>
        <w:jc w:val="left"/>
        <w:tblInd w:w="0" w:type="dxa"/>
        <w:tblLayout w:type="fixed"/>
        <w:tblCellMar>
          <w:top w:w="28" w:type="dxa"/>
          <w:left w:w="28" w:type="dxa"/>
          <w:bottom w:w="28" w:type="dxa"/>
          <w:right w:w="28" w:type="dxa"/>
        </w:tblCellMar>
      </w:tblPr>
      <w:tblGrid>
        <w:gridCol w:w="1476"/>
        <w:gridCol w:w="146"/>
        <w:gridCol w:w="211"/>
        <w:gridCol w:w="796"/>
        <w:gridCol w:w="286"/>
        <w:gridCol w:w="211"/>
        <w:gridCol w:w="796"/>
        <w:gridCol w:w="286"/>
        <w:gridCol w:w="211"/>
        <w:gridCol w:w="691"/>
        <w:gridCol w:w="166"/>
        <w:gridCol w:w="146"/>
        <w:gridCol w:w="481"/>
        <w:gridCol w:w="286"/>
        <w:gridCol w:w="211"/>
        <w:gridCol w:w="796"/>
        <w:gridCol w:w="286"/>
        <w:gridCol w:w="211"/>
        <w:gridCol w:w="796"/>
        <w:gridCol w:w="286"/>
        <w:gridCol w:w="211"/>
        <w:gridCol w:w="691"/>
        <w:gridCol w:w="166"/>
        <w:gridCol w:w="146"/>
        <w:gridCol w:w="481"/>
        <w:gridCol w:w="751"/>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0" w:type="dxa"/>
            <w:gridSpan w:val="5"/>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8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300" w:type="dxa"/>
            <w:gridSpan w:val="5"/>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8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1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197,422</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148,939</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382,297</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297,267</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85,030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138,671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103,077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270,821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211,327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4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58,751</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45,862</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111,476</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85,940</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751" w:type="dxa"/>
            <w:tcBorders/>
            <w:shd w:fill="CFF0FC"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420" w:right="0" w:firstLine="420"/>
              <w:jc w:val="left"/>
              <w:rPr>
                <w:rFonts w:ascii="Times New Roman" w:hAnsi="Times New Roman"/>
                <w:sz w:val="20"/>
              </w:rPr>
            </w:pPr>
            <w:r>
              <w:rPr>
                <w:rFonts w:ascii="Arial" w:hAnsi="Arial"/>
                <w:i/>
                <w:color w:val="000000"/>
                <w:sz w:val="20"/>
              </w:rPr>
              <w:t xml:space="preserve">Gross margin </w:t>
            </w:r>
            <w:r>
              <w:rPr>
                <w:rFonts w:ascii="Arial" w:hAnsi="Arial"/>
                <w:i/>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29.8</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30.8</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29.2</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28.9</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r>
        <w:trPr/>
        <w:tc>
          <w:tcPr>
            <w:tcW w:w="1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ind w:left="0" w:right="0" w:firstLine="140"/>
              <w:jc w:val="left"/>
              <w:rPr/>
            </w:pPr>
            <w:r>
              <w:rPr/>
              <w:t> </w:t>
            </w:r>
          </w:p>
        </w:tc>
      </w:tr>
      <w:tr>
        <w:trPr/>
        <w:tc>
          <w:tcPr>
            <w:tcW w:w="1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12,535</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10,907</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24,586</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22,560</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75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4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26,766</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21,599</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50,005</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41,863</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7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5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4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48,515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92,897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82,298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75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10,236</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4,626</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5,610</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18,579</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3,642</w:t>
            </w:r>
          </w:p>
        </w:tc>
        <w:tc>
          <w:tcPr>
            <w:tcW w:w="2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14,937</w:t>
            </w:r>
          </w:p>
        </w:tc>
        <w:tc>
          <w:tcPr>
            <w:tcW w:w="16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FFFFFF" w:val="clear"/>
            <w:vAlign w:val="center"/>
          </w:tcPr>
          <w:p>
            <w:pPr>
              <w:pStyle w:val="TableContents"/>
              <w:bidi w:val="0"/>
              <w:spacing w:before="0" w:after="283"/>
              <w:ind w:left="0" w:right="0" w:firstLine="140"/>
              <w:jc w:val="right"/>
              <w:rPr/>
            </w:pPr>
            <w:r>
              <w:rPr/>
              <w:t> </w:t>
            </w:r>
          </w:p>
        </w:tc>
      </w:tr>
      <w:tr>
        <w:trPr/>
        <w:tc>
          <w:tcPr>
            <w:tcW w:w="14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2,194</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1,658</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4,380</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3,098</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7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476"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Other income (expense) </w:t>
            </w: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14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23,229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CFF0FC" w:val="clear"/>
            <w:vAlign w:val="center"/>
          </w:tcPr>
          <w:p>
            <w:pPr>
              <w:pStyle w:val="TableContents"/>
              <w:bidi w:val="0"/>
              <w:spacing w:before="0" w:after="283"/>
              <w:ind w:left="0" w:right="0" w:firstLine="140"/>
              <w:jc w:val="right"/>
              <w:rPr/>
            </w:pPr>
            <w:r>
              <w:rPr/>
              <w:t> </w:t>
            </w:r>
          </w:p>
        </w:tc>
      </w:tr>
      <w:tr>
        <w:trPr/>
        <w:tc>
          <w:tcPr>
            <w:tcW w:w="14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7"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FFFFFF" w:val="clear"/>
            <w:vAlign w:val="center"/>
          </w:tcPr>
          <w:p>
            <w:pPr>
              <w:pStyle w:val="TableContents"/>
              <w:bidi w:val="0"/>
              <w:spacing w:before="0" w:after="283"/>
              <w:jc w:val="right"/>
              <w:rPr/>
            </w:pPr>
            <w:r>
              <w:rPr/>
              <w:t> </w:t>
            </w:r>
          </w:p>
        </w:tc>
      </w:tr>
      <w:tr>
        <w:trPr/>
        <w:tc>
          <w:tcPr>
            <w:tcW w:w="14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16,590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6,543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1" w:type="dxa"/>
            <w:tcBorders/>
            <w:shd w:fill="CFF0FC"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w:t>
      </w:r>
    </w:p>
    <w:p>
      <w:pPr>
        <w:pStyle w:val="TextBody"/>
        <w:bidi w:val="0"/>
        <w:jc w:val="left"/>
        <w:rPr>
          <w:rFonts w:ascii="Arial" w:hAnsi="Arial"/>
          <w:color w:val="000000"/>
          <w:sz w:val="19"/>
        </w:rPr>
      </w:pPr>
      <w:r>
        <w:rPr>
          <w:rFonts w:ascii="Arial" w:hAnsi="Arial"/>
          <w:color w:val="000000"/>
          <w:sz w:val="19"/>
        </w:rPr>
        <w:t>n/m - not meaningful</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19"/>
        </w:rPr>
        <w:t>Gross margin is calculated as gross profit divided by revenue.</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19"/>
        </w:rPr>
        <w:t xml:space="preserve">Other income (expense) includes of a remeasurement adjustment relating to the purchase price of a prior acquisition. </w:t>
      </w:r>
    </w:p>
    <w:p>
      <w:pPr>
        <w:pStyle w:val="TextBody"/>
        <w:bidi w:val="0"/>
        <w:spacing w:before="240" w:after="120"/>
        <w:jc w:val="both"/>
        <w:rPr>
          <w:rFonts w:ascii="Arial" w:hAnsi="Arial"/>
          <w:color w:val="000000"/>
          <w:sz w:val="20"/>
        </w:rPr>
      </w:pPr>
      <w:r>
        <w:rPr>
          <w:rFonts w:ascii="Arial" w:hAnsi="Arial"/>
          <w:color w:val="000000"/>
          <w:sz w:val="20"/>
        </w:rPr>
        <w:t>The following table presents the components of our condensed consolidated statements of operations for the periods presented as a percentage of revenue:</w:t>
      </w:r>
    </w:p>
    <w:tbl>
      <w:tblPr>
        <w:tblW w:w="9658" w:type="dxa"/>
        <w:jc w:val="left"/>
        <w:tblInd w:w="0" w:type="dxa"/>
        <w:tblLayout w:type="fixed"/>
        <w:tblCellMar>
          <w:top w:w="28" w:type="dxa"/>
          <w:left w:w="28" w:type="dxa"/>
          <w:bottom w:w="28" w:type="dxa"/>
          <w:right w:w="28" w:type="dxa"/>
        </w:tblCellMar>
      </w:tblPr>
      <w:tblGrid>
        <w:gridCol w:w="2876"/>
        <w:gridCol w:w="146"/>
        <w:gridCol w:w="215"/>
        <w:gridCol w:w="863"/>
        <w:gridCol w:w="509"/>
        <w:gridCol w:w="215"/>
        <w:gridCol w:w="215"/>
        <w:gridCol w:w="863"/>
        <w:gridCol w:w="346"/>
        <w:gridCol w:w="146"/>
        <w:gridCol w:w="198"/>
        <w:gridCol w:w="795"/>
        <w:gridCol w:w="469"/>
        <w:gridCol w:w="198"/>
        <w:gridCol w:w="198"/>
        <w:gridCol w:w="795"/>
        <w:gridCol w:w="61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4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5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4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28.9</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3" w:type="dxa"/>
            <w:gridSpan w:val="2"/>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93"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140"/>
              <w:jc w:val="left"/>
              <w:rPr/>
            </w:pPr>
            <w:r>
              <w:rPr/>
              <w:t> </w:t>
            </w:r>
          </w:p>
        </w:tc>
      </w:tr>
      <w:tr>
        <w:trPr/>
        <w:tc>
          <w:tcPr>
            <w:tcW w:w="28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5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4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61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5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4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61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5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4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1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1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5"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Comparison of the Three Months Ended June 30, 2024 and 2023</w:t>
      </w:r>
    </w:p>
    <w:p>
      <w:pPr>
        <w:pStyle w:val="TextBody"/>
        <w:bidi w:val="0"/>
        <w:spacing w:before="120" w:after="283"/>
        <w:jc w:val="left"/>
        <w:rPr>
          <w:rFonts w:ascii="Arial" w:hAnsi="Arial"/>
          <w:i/>
          <w:color w:val="000000"/>
          <w:sz w:val="20"/>
        </w:rPr>
      </w:pPr>
      <w:r>
        <w:rPr>
          <w:rFonts w:ascii="Arial" w:hAnsi="Arial"/>
          <w:i/>
          <w:color w:val="000000"/>
          <w:sz w:val="20"/>
        </w:rPr>
        <w:t>Revenue</w:t>
      </w:r>
    </w:p>
    <w:p>
      <w:pPr>
        <w:pStyle w:val="TextBody"/>
        <w:bidi w:val="0"/>
        <w:spacing w:before="120" w:after="283"/>
        <w:jc w:val="both"/>
        <w:rPr>
          <w:rFonts w:ascii="Arial" w:hAnsi="Arial"/>
          <w:color w:val="000000"/>
          <w:sz w:val="20"/>
        </w:rPr>
      </w:pPr>
      <w:r>
        <w:rPr>
          <w:rFonts w:ascii="Arial" w:hAnsi="Arial"/>
          <w:color w:val="000000"/>
          <w:sz w:val="20"/>
        </w:rPr>
        <w:t>The increase in revenue was primarily driven by an increase in the number of transactions processed, which was driven by the implementation of new billers, increased transactions from our existing billers and pricing improvements implemented throughout the year.</w:t>
      </w:r>
    </w:p>
    <w:p>
      <w:pPr>
        <w:pStyle w:val="TextBody"/>
        <w:bidi w:val="0"/>
        <w:spacing w:before="120" w:after="283"/>
        <w:jc w:val="both"/>
        <w:rPr>
          <w:rFonts w:ascii="Arial" w:hAnsi="Arial"/>
          <w:i/>
          <w:color w:val="000000"/>
          <w:sz w:val="20"/>
        </w:rPr>
      </w:pPr>
      <w:r>
        <w:rPr>
          <w:rFonts w:ascii="Arial" w:hAnsi="Arial"/>
          <w:i/>
          <w:color w:val="000000"/>
          <w:sz w:val="20"/>
        </w:rPr>
        <w:t>Cost of Revenue, Gross Profit and Gross Margin</w:t>
      </w:r>
    </w:p>
    <w:p>
      <w:pPr>
        <w:pStyle w:val="TextBody"/>
        <w:bidi w:val="0"/>
        <w:spacing w:before="120" w:after="283"/>
        <w:jc w:val="both"/>
        <w:rPr>
          <w:rFonts w:ascii="Times New Roman" w:hAnsi="Times New Roman"/>
          <w:sz w:val="20"/>
        </w:rPr>
      </w:pPr>
      <w:r>
        <w:rPr>
          <w:rFonts w:ascii="Arial" w:hAnsi="Arial"/>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Gross margin decreased due to the addition of large high volume enterprise billers to our customer base.</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increase in research and development expenses was primarily due to increased amortization of capitalized internal-use software development costs and an increase in employee-related costs, including an increase in stock-based compensation expenses.</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120" w:after="283"/>
        <w:jc w:val="both"/>
        <w:rPr>
          <w:rFonts w:ascii="Arial" w:hAnsi="Arial"/>
          <w:color w:val="000000"/>
          <w:sz w:val="20"/>
        </w:rPr>
      </w:pPr>
      <w:r>
        <w:rPr>
          <w:rFonts w:ascii="Arial" w:hAnsi="Arial"/>
          <w:color w:val="000000"/>
          <w:sz w:val="20"/>
        </w:rPr>
        <w:t>The increase in sales and marketing expenses was primarily due to increased employee-related costs as a result of increased hiring, including higher stock-based compensation expenses, reseller commissions including amortization of warrants and increased activity for go to market events and trade shows.</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Times New Roman" w:hAnsi="Times New Roman"/>
          <w:sz w:val="20"/>
        </w:rPr>
      </w:pPr>
      <w:r>
        <w:rPr>
          <w:rFonts w:ascii="Arial" w:hAnsi="Arial"/>
          <w:color w:val="000000"/>
          <w:sz w:val="20"/>
        </w:rPr>
        <w:t>The marginal increase in general and administrative expenses was primarily due to increases in employee-related costs, legal fees and professional fees, which were offset by lower cost of insurance premiums for our directors and officers and commercial and general liability insurance premiums.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Interest Income, net</w:t>
      </w:r>
    </w:p>
    <w:p>
      <w:pPr>
        <w:pStyle w:val="TextBody"/>
        <w:bidi w:val="0"/>
        <w:spacing w:before="120" w:after="283"/>
        <w:jc w:val="both"/>
        <w:rPr>
          <w:rFonts w:ascii="Arial" w:hAnsi="Arial"/>
          <w:color w:val="000000"/>
          <w:sz w:val="20"/>
        </w:rPr>
      </w:pPr>
      <w:r>
        <w:rPr>
          <w:rFonts w:ascii="Arial" w:hAnsi="Arial"/>
          <w:color w:val="000000"/>
          <w:sz w:val="20"/>
        </w:rPr>
        <w:t>The increase in interest income, net was a result of higher cash balances held with banks for the three months ended June 30, 2024 compared to the same period in 2023, together with increases in the Federal Reserve rates.</w:t>
      </w:r>
    </w:p>
    <w:p>
      <w:pPr>
        <w:pStyle w:val="TextBody"/>
        <w:bidi w:val="0"/>
        <w:spacing w:before="120" w:after="283"/>
        <w:jc w:val="both"/>
        <w:rPr>
          <w:rFonts w:ascii="Arial" w:hAnsi="Arial"/>
          <w:i/>
          <w:color w:val="000000"/>
          <w:sz w:val="20"/>
        </w:rPr>
      </w:pPr>
      <w:r>
        <w:rPr>
          <w:rFonts w:ascii="Arial" w:hAnsi="Arial"/>
          <w:i/>
          <w:color w:val="000000"/>
          <w:sz w:val="20"/>
        </w:rPr>
        <w:t xml:space="preserve">Income Taxes </w:t>
      </w:r>
    </w:p>
    <w:p>
      <w:pPr>
        <w:pStyle w:val="TextBody"/>
        <w:bidi w:val="0"/>
        <w:spacing w:before="120" w:after="283"/>
        <w:jc w:val="both"/>
        <w:rPr>
          <w:rFonts w:ascii="Times New Roman" w:hAnsi="Times New Roman"/>
          <w:sz w:val="20"/>
        </w:rPr>
      </w:pPr>
      <w:r>
        <w:rPr>
          <w:rFonts w:ascii="Arial" w:hAnsi="Arial"/>
          <w:color w:val="000000"/>
          <w:sz w:val="20"/>
        </w:rPr>
        <w:t>The change in provision for income taxes as well as the increase in the Company's effective tax rate, which was 24.9% for the three months ended June 30, 2024 as compared to 7.0% for the same period in the prior year, was primarily due to an increase in income before income taxes as well as the results of permanent differences for disallowed stock-based compensation pursuant to IRC Section 162(m), state taxes and the impact of the full valuation allowance. In 2023, it was primarily the result of near break-even pre-tax income from operations, state taxes and the impact of the full valuation allowance and other permanent adjustments in addition to a return to provision benefit recorded in connection with a change in estimate of costs required to be capitalized under IRC Section 174.</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Comparison of the Six Months Ended June 30, 2024 and 2023</w:t>
      </w:r>
    </w:p>
    <w:p>
      <w:pPr>
        <w:pStyle w:val="TextBody"/>
        <w:bidi w:val="0"/>
        <w:spacing w:before="120" w:after="283"/>
        <w:jc w:val="left"/>
        <w:rPr>
          <w:rFonts w:ascii="Arial" w:hAnsi="Arial"/>
          <w:i/>
          <w:color w:val="000000"/>
          <w:sz w:val="20"/>
        </w:rPr>
      </w:pPr>
      <w:r>
        <w:rPr>
          <w:rFonts w:ascii="Arial" w:hAnsi="Arial"/>
          <w:i/>
          <w:color w:val="000000"/>
          <w:sz w:val="20"/>
        </w:rPr>
        <w:t>Revenue</w:t>
      </w:r>
    </w:p>
    <w:p>
      <w:pPr>
        <w:pStyle w:val="TextBody"/>
        <w:bidi w:val="0"/>
        <w:spacing w:before="120" w:after="283"/>
        <w:jc w:val="both"/>
        <w:rPr>
          <w:rFonts w:ascii="Arial" w:hAnsi="Arial"/>
          <w:color w:val="000000"/>
          <w:sz w:val="20"/>
        </w:rPr>
      </w:pPr>
      <w:r>
        <w:rPr>
          <w:rFonts w:ascii="Arial" w:hAnsi="Arial"/>
          <w:color w:val="000000"/>
          <w:sz w:val="20"/>
        </w:rPr>
        <w:t>The increase in revenue was primarily driven by an increase in the number of transactions processed, which was driven by the implementation of new billers and increased transactions from our existing billers. Revenue increase was also driven by pricing improvements.</w:t>
      </w:r>
    </w:p>
    <w:p>
      <w:pPr>
        <w:pStyle w:val="TextBody"/>
        <w:bidi w:val="0"/>
        <w:spacing w:before="120" w:after="283"/>
        <w:jc w:val="both"/>
        <w:rPr>
          <w:rFonts w:ascii="Arial" w:hAnsi="Arial"/>
          <w:i/>
          <w:color w:val="000000"/>
          <w:sz w:val="20"/>
        </w:rPr>
      </w:pPr>
      <w:r>
        <w:rPr>
          <w:rFonts w:ascii="Arial" w:hAnsi="Arial"/>
          <w:i/>
          <w:color w:val="000000"/>
          <w:sz w:val="20"/>
        </w:rPr>
        <w:t>Cost of Revenue, Gross Profit and Gross Margin</w:t>
      </w:r>
    </w:p>
    <w:p>
      <w:pPr>
        <w:pStyle w:val="TextBody"/>
        <w:bidi w:val="0"/>
        <w:spacing w:before="120" w:after="283"/>
        <w:jc w:val="both"/>
        <w:rPr>
          <w:rFonts w:ascii="Arial" w:hAnsi="Arial"/>
          <w:color w:val="000000"/>
          <w:sz w:val="20"/>
        </w:rPr>
      </w:pPr>
      <w:r>
        <w:rPr>
          <w:rFonts w:ascii="Arial" w:hAnsi="Arial"/>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w:t>
      </w:r>
    </w:p>
    <w:p>
      <w:pPr>
        <w:pStyle w:val="TextBody"/>
        <w:bidi w:val="0"/>
        <w:spacing w:before="120" w:after="283"/>
        <w:jc w:val="both"/>
        <w:rPr>
          <w:rFonts w:ascii="Arial" w:hAnsi="Arial"/>
          <w:color w:val="000000"/>
          <w:sz w:val="20"/>
        </w:rPr>
      </w:pPr>
      <w:r>
        <w:rPr>
          <w:rFonts w:ascii="Arial" w:hAnsi="Arial"/>
          <w:color w:val="000000"/>
          <w:sz w:val="20"/>
        </w:rPr>
        <w:t>Gross margin slightly increased due to lower cost of revenues for other direct costs associated with making our platform available to our billers by certain cost improvement initiatives and economies of scale, offset to some extent by a reduced margins due to the addition of large high volume enterprise billers to our customer base.</w:t>
      </w:r>
    </w:p>
    <w:p>
      <w:pPr>
        <w:pStyle w:val="TextBody"/>
        <w:bidi w:val="0"/>
        <w:spacing w:before="12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increase in research and development expenses was primarily due to increased amortization of capitalized internal-use software development costs and an increase in employee-related costs, including an increase in stock-based compensation.</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120" w:after="283"/>
        <w:jc w:val="both"/>
        <w:rPr>
          <w:rFonts w:ascii="Arial" w:hAnsi="Arial"/>
          <w:color w:val="000000"/>
          <w:sz w:val="20"/>
        </w:rPr>
      </w:pPr>
      <w:r>
        <w:rPr>
          <w:rFonts w:ascii="Arial" w:hAnsi="Arial"/>
          <w:color w:val="000000"/>
          <w:sz w:val="20"/>
        </w:rPr>
        <w:t>The increase in sales and marketing expenses was primarily due to increased employee-related costs as a result of increased hiring, including higher stock-based compensation expenses, reseller commissions including amortization of warrants and increased activity for go to market events and trade shows.</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Times New Roman" w:hAnsi="Times New Roman"/>
          <w:sz w:val="20"/>
        </w:rPr>
      </w:pPr>
      <w:r>
        <w:rPr>
          <w:rFonts w:ascii="Arial" w:hAnsi="Arial"/>
          <w:color w:val="000000"/>
          <w:sz w:val="20"/>
        </w:rPr>
        <w:t>The marginal increase in general and administrative expenses was primarily due to professional fees, legal fees and lease expenses, which were offset by lower cost of insurance premiums for our directors and officers and commercial and general liability insurance premiums.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Interest income, net</w:t>
      </w:r>
    </w:p>
    <w:p>
      <w:pPr>
        <w:pStyle w:val="TextBody"/>
        <w:bidi w:val="0"/>
        <w:spacing w:before="120" w:after="283"/>
        <w:jc w:val="both"/>
        <w:rPr>
          <w:rFonts w:ascii="Arial" w:hAnsi="Arial"/>
          <w:color w:val="000000"/>
          <w:sz w:val="20"/>
        </w:rPr>
      </w:pPr>
      <w:r>
        <w:rPr>
          <w:rFonts w:ascii="Arial" w:hAnsi="Arial"/>
          <w:color w:val="000000"/>
          <w:sz w:val="20"/>
        </w:rPr>
        <w:t>The increase in interest income, net was a result of higher cash balances held with banks for the six months ended June 30, 2024 compared to the same period in 2023, together with increases in the Federal Reserve rates.</w:t>
      </w:r>
    </w:p>
    <w:p>
      <w:pPr>
        <w:pStyle w:val="TextBody"/>
        <w:bidi w:val="0"/>
        <w:spacing w:before="120" w:after="283"/>
        <w:jc w:val="both"/>
        <w:rPr>
          <w:rFonts w:ascii="Arial" w:hAnsi="Arial"/>
          <w:i/>
          <w:color w:val="000000"/>
          <w:sz w:val="20"/>
        </w:rPr>
      </w:pPr>
      <w:r>
        <w:rPr>
          <w:rFonts w:ascii="Arial" w:hAnsi="Arial"/>
          <w:i/>
          <w:color w:val="000000"/>
          <w:sz w:val="20"/>
        </w:rPr>
        <w:t xml:space="preserve">Income Taxes </w:t>
      </w:r>
    </w:p>
    <w:p>
      <w:pPr>
        <w:pStyle w:val="TextBody"/>
        <w:bidi w:val="0"/>
        <w:spacing w:before="120" w:after="283"/>
        <w:jc w:val="both"/>
        <w:rPr>
          <w:rFonts w:ascii="Times New Roman" w:hAnsi="Times New Roman"/>
          <w:sz w:val="20"/>
        </w:rPr>
      </w:pPr>
      <w:r>
        <w:rPr>
          <w:rFonts w:ascii="Arial" w:hAnsi="Arial"/>
          <w:color w:val="000000"/>
          <w:sz w:val="20"/>
        </w:rPr>
        <w:t>The change in provision for income taxes as well as the increase in the Company's effective tax rate, which was 28.6% for the six months ended June 30, 2024 as compared to 2.7% for the same period in the prior year, was primarily due to an increase in income before income taxes as well as the results of permanent differences for disallowed stock-based compensation pursuant to IRC Section 162(m), state taxes and the impact of the full valuation allowance. In 2023, it was primarily the result of near break-even pre-tax income from operations, state taxes and the impact of the full valuation allowance and other permanent adjustments in addition to a return to provision benefit recorded in connection with a change in estimate of costs required to be capitalized under IRC Section 174.</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and Uses of Funds</w:t>
      </w:r>
    </w:p>
    <w:p>
      <w:pPr>
        <w:pStyle w:val="TextBody"/>
        <w:bidi w:val="0"/>
        <w:spacing w:before="120" w:after="283"/>
        <w:jc w:val="both"/>
        <w:rPr>
          <w:rFonts w:ascii="Arial" w:hAnsi="Arial"/>
          <w:color w:val="000000"/>
          <w:sz w:val="20"/>
        </w:rPr>
      </w:pPr>
      <w:r>
        <w:rPr>
          <w:rFonts w:ascii="Arial" w:hAnsi="Arial"/>
          <w:color w:val="000000"/>
          <w:sz w:val="20"/>
        </w:rPr>
        <w:t>As of June 30, 2024, we had $188.8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pStyle w:val="TextBody"/>
        <w:bidi w:val="0"/>
        <w:spacing w:before="120" w:after="283"/>
        <w:jc w:val="both"/>
        <w:rPr>
          <w:rFonts w:ascii="Times New Roman" w:hAnsi="Times New Roman"/>
          <w:sz w:val="20"/>
        </w:rPr>
      </w:pPr>
      <w:r>
        <w:rPr>
          <w:rFonts w:ascii="Arial" w:hAnsi="Arial"/>
          <w:color w:val="000000"/>
          <w:sz w:val="20"/>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Historical Cash Flows</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following table summarizes our condensed consolidated cash flows.</w:t>
      </w:r>
    </w:p>
    <w:tbl>
      <w:tblPr>
        <w:tblW w:w="9067" w:type="dxa"/>
        <w:jc w:val="left"/>
        <w:tblInd w:w="0" w:type="dxa"/>
        <w:tblLayout w:type="fixed"/>
        <w:tblCellMar>
          <w:top w:w="28" w:type="dxa"/>
          <w:left w:w="28" w:type="dxa"/>
          <w:bottom w:w="28" w:type="dxa"/>
          <w:right w:w="28" w:type="dxa"/>
        </w:tblCellMar>
      </w:tblPr>
      <w:tblGrid>
        <w:gridCol w:w="5356"/>
        <w:gridCol w:w="706"/>
        <w:gridCol w:w="250"/>
        <w:gridCol w:w="892"/>
        <w:gridCol w:w="197"/>
        <w:gridCol w:w="173"/>
        <w:gridCol w:w="250"/>
        <w:gridCol w:w="892"/>
        <w:gridCol w:w="351"/>
      </w:tblGrid>
      <w:tr>
        <w:trPr/>
        <w:tc>
          <w:tcPr>
            <w:tcW w:w="53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654"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1" w:type="dxa"/>
            <w:tcBorders/>
            <w:shd w:fill="FFFFFF" w:val="clear"/>
            <w:vAlign w:val="center"/>
          </w:tcPr>
          <w:p>
            <w:pPr>
              <w:pStyle w:val="TableContents"/>
              <w:bidi w:val="0"/>
              <w:spacing w:before="0" w:after="283"/>
              <w:jc w:val="center"/>
              <w:rPr/>
            </w:pPr>
            <w:r>
              <w:rPr/>
              <w:t> </w:t>
            </w:r>
          </w:p>
        </w:tc>
      </w:tr>
      <w:tr>
        <w:trPr/>
        <w:tc>
          <w:tcPr>
            <w:tcW w:w="535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Net cash provided by (used in):</w:t>
            </w:r>
          </w:p>
        </w:tc>
        <w:tc>
          <w:tcPr>
            <w:tcW w:w="70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5356"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activities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28,984</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31,244</w:t>
            </w:r>
          </w:p>
        </w:tc>
        <w:tc>
          <w:tcPr>
            <w:tcW w:w="351" w:type="dxa"/>
            <w:tcBorders/>
            <w:shd w:fill="FFFFFF" w:val="clear"/>
            <w:vAlign w:val="center"/>
          </w:tcPr>
          <w:p>
            <w:pPr>
              <w:pStyle w:val="TableContents"/>
              <w:bidi w:val="0"/>
              <w:spacing w:before="0" w:after="283"/>
              <w:ind w:left="0" w:right="0" w:firstLine="140"/>
              <w:jc w:val="left"/>
              <w:rPr/>
            </w:pPr>
            <w:r>
              <w:rPr/>
              <w:t> </w:t>
            </w:r>
          </w:p>
        </w:tc>
      </w:tr>
      <w:tr>
        <w:trPr/>
        <w:tc>
          <w:tcPr>
            <w:tcW w:w="5356"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Investing activities</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(18,789</w:t>
            </w:r>
          </w:p>
        </w:tc>
        <w:tc>
          <w:tcPr>
            <w:tcW w:w="1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(16,964</w:t>
            </w:r>
          </w:p>
        </w:tc>
        <w:tc>
          <w:tcPr>
            <w:tcW w:w="3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356"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Financing activities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9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(1,610</w:t>
            </w:r>
          </w:p>
        </w:tc>
        <w:tc>
          <w:tcPr>
            <w:tcW w:w="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5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Effects of foreign exchange on cash</w:t>
            </w:r>
          </w:p>
        </w:tc>
        <w:tc>
          <w:tcPr>
            <w:tcW w:w="70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Net increase in cash, cash equivalents and Restricted cash</w:t>
            </w:r>
          </w:p>
        </w:tc>
        <w:tc>
          <w:tcPr>
            <w:tcW w:w="70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12,783</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i/>
          <w:color w:val="000000"/>
          <w:sz w:val="20"/>
        </w:rPr>
        <w:t>Net Cash Provided by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six months ended June 30, 2024 was $29.0 million. Net income was $16.6 million, adjusted for non-cash charges of $26.0 million consisting primarily of depreciation and amortization, stock-based compensation, amortization of contract assets and non-cash lease expense, which contributed positively to cash provided from operating activities. This was decreased by net cash outflows of $13.6 million used by changes in our operating assets and liabilities.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provided by operating activities for the six months ended June 30, 2023 was $31.2 million. Net income was $6.5 million, adjusted for non-cash charges of $21.3 million consisting primarily of depreciation and amortization, stock-based compensation, amortization of contract assets and non-cash lease expense, which contributed positively to cash provided from operating activities. This was increased by net cash inflows of $3.4 million provided by changes in our operating assets and liabilities.</w:t>
      </w:r>
    </w:p>
    <w:p>
      <w:pPr>
        <w:pStyle w:val="TextBody"/>
        <w:bidi w:val="0"/>
        <w:spacing w:before="120" w:after="120"/>
        <w:jc w:val="both"/>
        <w:rPr>
          <w:rFonts w:ascii="Times New Roman" w:hAnsi="Times New Roman"/>
          <w:sz w:val="20"/>
        </w:rPr>
      </w:pPr>
      <w:r>
        <w:rPr>
          <w:rFonts w:ascii="Arial" w:hAnsi="Arial"/>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for the six months ended June 30, 2024 consisted of $18.4 million of capitalized software development costs and $0.3 million of purchases of property and equipment, which was offset by $0.1 million of net change in interest-bearing deposits.</w:t>
      </w:r>
    </w:p>
    <w:p>
      <w:pPr>
        <w:pStyle w:val="TextBody"/>
        <w:bidi w:val="0"/>
        <w:spacing w:before="120" w:after="120"/>
        <w:jc w:val="both"/>
        <w:rPr>
          <w:rFonts w:ascii="Arial" w:hAnsi="Arial"/>
          <w:color w:val="000000"/>
          <w:sz w:val="20"/>
        </w:rPr>
      </w:pPr>
      <w:r>
        <w:rPr>
          <w:rFonts w:ascii="Arial" w:hAnsi="Arial"/>
          <w:color w:val="000000"/>
          <w:sz w:val="20"/>
        </w:rPr>
        <w:t>Net cash used in investing activities for the six months ended June 30, 2023 consisted of $16.6 million of capitalized internal-use software development costs and $0.4 million of purchases of property and equipment.</w:t>
      </w:r>
    </w:p>
    <w:p>
      <w:pPr>
        <w:pStyle w:val="TextBody"/>
        <w:bidi w:val="0"/>
        <w:spacing w:before="120" w:after="283"/>
        <w:jc w:val="both"/>
        <w:rPr>
          <w:rFonts w:ascii="Arial" w:hAnsi="Arial"/>
          <w:i/>
          <w:color w:val="000000"/>
          <w:sz w:val="20"/>
        </w:rPr>
      </w:pPr>
      <w:r>
        <w:rPr>
          <w:rFonts w:ascii="Arial" w:hAnsi="Arial"/>
          <w:i/>
          <w:color w:val="000000"/>
          <w:sz w:val="20"/>
        </w:rPr>
        <w:t>Net Cash Used in Financing Activities</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six months ended June 30, 2024 consisted of $0.5 million of settlement of holdback liability relating to a prior acquisition, which was offset by $0.1 million of proceeds from exercise of stock-based awards by employees.</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six months ended June 30, 2023 consisted of $1.7 million of payments on other financing obligations and $0.1 million of payments on finance leases.</w:t>
      </w:r>
    </w:p>
    <w:p>
      <w:pPr>
        <w:pStyle w:val="TextBody"/>
        <w:bidi w:val="0"/>
        <w:spacing w:before="120" w:after="283"/>
        <w:jc w:val="left"/>
        <w:rPr>
          <w:rFonts w:ascii="Arial" w:hAnsi="Arial"/>
          <w:b/>
          <w:color w:val="000000"/>
          <w:sz w:val="20"/>
        </w:rPr>
      </w:pPr>
      <w:r>
        <w:rPr>
          <w:rFonts w:ascii="Arial" w:hAnsi="Arial"/>
          <w:b/>
          <w:color w:val="000000"/>
          <w:sz w:val="20"/>
        </w:rPr>
        <w:t>Early Warning of Possible Valuation Allowance Reversal in Future Periods</w:t>
      </w:r>
    </w:p>
    <w:p>
      <w:pPr>
        <w:pStyle w:val="TextBody"/>
        <w:bidi w:val="0"/>
        <w:spacing w:before="120" w:after="283"/>
        <w:jc w:val="both"/>
        <w:rPr>
          <w:rFonts w:ascii="Arial" w:hAnsi="Arial"/>
          <w:color w:val="000000"/>
          <w:sz w:val="20"/>
        </w:rPr>
      </w:pPr>
      <w:r>
        <w:rPr>
          <w:rFonts w:ascii="Arial" w:hAnsi="Arial"/>
          <w:color w:val="000000"/>
          <w:sz w:val="20"/>
        </w:rPr>
        <w:t>We recorded a valuation allowance against all of our US deferred tax assets as of June 30, 2024, and December 31, 2023. We intend to continue maintaining a full valuation allowance on our deferred tax assets until there is sufficient evidence to support the reversal of all or some portion of these allowances. However, given our current earnings and anticipated future earnings,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we are able to actually achieve.</w:t>
      </w:r>
    </w:p>
    <w:p>
      <w:pPr>
        <w:pStyle w:val="TextBody"/>
        <w:bidi w:val="0"/>
        <w:spacing w:before="120" w:after="283"/>
        <w:jc w:val="both"/>
        <w:rPr>
          <w:rFonts w:ascii="Arial" w:hAnsi="Arial"/>
          <w:b/>
          <w:color w:val="000000"/>
          <w:sz w:val="20"/>
        </w:rPr>
      </w:pPr>
      <w:r>
        <w:rPr>
          <w:rFonts w:ascii="Arial" w:hAnsi="Arial"/>
          <w:b/>
          <w:color w:val="000000"/>
          <w:sz w:val="20"/>
        </w:rPr>
        <w:t>Critical Accounting Policies and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2023 Form 10-K. There have been no material changes in our critical accounting policies and estimates since December 31, 2023.</w:t>
      </w:r>
    </w:p>
    <w:p>
      <w:pPr>
        <w:pStyle w:val="TextBody"/>
        <w:bidi w:val="0"/>
        <w:spacing w:before="12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20" w:after="283"/>
        <w:jc w:val="both"/>
        <w:rPr>
          <w:rFonts w:ascii="Arial" w:hAnsi="Arial"/>
          <w:color w:val="000000"/>
          <w:sz w:val="20"/>
        </w:rPr>
      </w:pPr>
      <w:r>
        <w:rPr>
          <w:rFonts w:ascii="Arial" w:hAnsi="Arial"/>
          <w:color w:val="000000"/>
          <w:sz w:val="20"/>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pStyle w:val="TextBody"/>
        <w:bidi w:val="0"/>
        <w:spacing w:before="240" w:after="283"/>
        <w:jc w:val="both"/>
        <w:rPr>
          <w:rFonts w:ascii="Arial" w:hAnsi="Arial"/>
          <w:b/>
          <w:color w:val="000000"/>
          <w:sz w:val="20"/>
        </w:rPr>
      </w:pPr>
      <w:bookmarkStart w:id="14" w:name="item_3_quantitative_and_qualitative"/>
      <w:bookmarkEnd w:id="14"/>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in our exposures to market risk since December 31, 2023. For details on the Company’s interest rate, foreign currency exchange, and inflation risks, see Part I, Item 7A. “Quantitative and Qualitative Information About Market Risk” in our 2023 Form 10-K.</w:t>
      </w:r>
    </w:p>
    <w:p>
      <w:pPr>
        <w:pStyle w:val="TextBody"/>
        <w:bidi w:val="0"/>
        <w:spacing w:before="12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bookmarkStart w:id="15" w:name="item_4_controls_and_procedures"/>
      <w:bookmarkEnd w:id="15"/>
      <w:r>
        <w:rPr>
          <w:rFonts w:ascii="Arial" w:hAnsi="Arial"/>
          <w:b/>
          <w:color w:val="000000"/>
          <w:sz w:val="20"/>
        </w:rPr>
        <w:t>Item 4. Controls and Procedures</w:t>
      </w:r>
    </w:p>
    <w:p>
      <w:pPr>
        <w:pStyle w:val="TextBody"/>
        <w:bidi w:val="0"/>
        <w:spacing w:before="12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June 30, 2024,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pStyle w:val="TextBody"/>
        <w:bidi w:val="0"/>
        <w:spacing w:before="120" w:after="283"/>
        <w:jc w:val="both"/>
        <w:rPr>
          <w:rFonts w:ascii="Arial" w:hAnsi="Arial"/>
          <w:b/>
          <w:i/>
          <w:color w:val="000000"/>
          <w:sz w:val="20"/>
        </w:rPr>
      </w:pPr>
      <w:r>
        <w:rPr>
          <w:rFonts w:ascii="Arial" w:hAnsi="Arial"/>
          <w:b/>
          <w:i/>
          <w:color w:val="000000"/>
          <w:sz w:val="20"/>
        </w:rPr>
        <w:t>Material Weaknesses in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June 30, 2024, our material weaknesses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pStyle w:val="TextBody"/>
        <w:bidi w:val="0"/>
        <w:spacing w:before="120" w:after="283"/>
        <w:jc w:val="both"/>
        <w:rPr>
          <w:rFonts w:ascii="Arial" w:hAnsi="Arial"/>
          <w:b/>
          <w:i/>
          <w:color w:val="000000"/>
          <w:sz w:val="20"/>
        </w:rPr>
      </w:pPr>
      <w:r>
        <w:rPr>
          <w:rFonts w:ascii="Arial" w:hAnsi="Arial"/>
          <w:b/>
          <w:i/>
          <w:color w:val="000000"/>
          <w:sz w:val="20"/>
        </w:rPr>
        <w:t>Status of Remediation Plan</w:t>
      </w:r>
    </w:p>
    <w:p>
      <w:pPr>
        <w:pStyle w:val="TextBody"/>
        <w:bidi w:val="0"/>
        <w:spacing w:before="120" w:after="283"/>
        <w:jc w:val="both"/>
        <w:rPr>
          <w:rFonts w:ascii="Arial" w:hAnsi="Arial"/>
          <w:color w:val="000000"/>
          <w:sz w:val="20"/>
        </w:rPr>
      </w:pPr>
      <w:r>
        <w:rPr>
          <w:rFonts w:ascii="Arial" w:hAnsi="Arial"/>
          <w:color w:val="000000"/>
          <w:sz w:val="20"/>
        </w:rPr>
        <w:t>We believe we have made significant progress towards remediation of the material weaknesses described above. As previously disclosed, we have completed the following remediation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onboarded experienced finance and accounting professionals at various senior roles;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updated the design of our general ledger accounting system to allow for effective restricted access and segregation of duties to govern the preparation and review of journal entries;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implemented management review controls over journal entries and the identification and review of complex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secured the general ledger accounting system by implementing single sign-on (SSO);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implemented additional change management and access controls for our relevant IT applications to further restrict privileged access and implemented controls to review activities, which may materially affect our financial statements, for those users who have privileged access.</w:t>
      </w:r>
    </w:p>
    <w:p>
      <w:pPr>
        <w:pStyle w:val="TextBody"/>
        <w:bidi w:val="0"/>
        <w:spacing w:before="120" w:after="283"/>
        <w:jc w:val="both"/>
        <w:rPr>
          <w:rFonts w:ascii="Arial" w:hAnsi="Arial"/>
          <w:color w:val="000000"/>
          <w:sz w:val="20"/>
        </w:rPr>
      </w:pPr>
      <w:r>
        <w:rPr>
          <w:rFonts w:ascii="Arial" w:hAnsi="Arial"/>
          <w:color w:val="000000"/>
          <w:sz w:val="20"/>
        </w:rPr>
        <w:t>In addition to the aforementioned actions that have been completed to-date, during the second quarter, we continued to enhance the design and implementation of certain IT general controls for information systems. While we believe that these actions will remediate the material weaknesses, the material weaknesses will not be considered remediated until the applicable controls have operated for a sufficient period of time, and management has concluded, through testing, that these controls are designed and operating effectively.</w:t>
      </w:r>
    </w:p>
    <w:p>
      <w:pPr>
        <w:pStyle w:val="TextBody"/>
        <w:bidi w:val="0"/>
        <w:spacing w:before="120" w:after="283"/>
        <w:jc w:val="both"/>
        <w:rPr>
          <w:rFonts w:ascii="Times New Roman" w:hAnsi="Times New Roman"/>
          <w:sz w:val="20"/>
        </w:rPr>
      </w:pPr>
      <w:r>
        <w:rPr>
          <w:rFonts w:ascii="Arial" w:hAnsi="Arial"/>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Other than continuing to make progress on the ongoing remediation efforts described above, there were no changes in our internal control over financial reporting (as defined in Rules 13a-15(f) and 15d-15(f) under the Exchange Act) during the three months ended June 30, 2024 that have materially affected, or are reasonably likely to materially affect, our internal control over financial reporting.</w:t>
      </w:r>
    </w:p>
    <w:p>
      <w:pPr>
        <w:pStyle w:val="TextBody"/>
        <w:bidi w:val="0"/>
        <w:spacing w:before="12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i/>
          <w:color w:val="000000"/>
          <w:sz w:val="20"/>
        </w:rPr>
      </w:pPr>
      <w:r>
        <w:rPr>
          <w:rFonts w:ascii="Arial" w:hAnsi="Arial"/>
          <w:b/>
          <w:i/>
          <w:color w:val="000000"/>
          <w:sz w:val="20"/>
        </w:rPr>
        <w:t>Inherent Limitations on Effectiveness of Controls</w:t>
      </w:r>
    </w:p>
    <w:p>
      <w:pPr>
        <w:pStyle w:val="TextBody"/>
        <w:bidi w:val="0"/>
        <w:spacing w:before="120" w:after="283"/>
        <w:jc w:val="both"/>
        <w:rPr>
          <w:rFonts w:ascii="Arial" w:hAnsi="Arial"/>
          <w:color w:val="000000"/>
          <w:sz w:val="20"/>
        </w:rPr>
      </w:pPr>
      <w:r>
        <w:rPr>
          <w:rFonts w:ascii="Arial" w:hAnsi="Arial"/>
          <w:color w:val="000000"/>
          <w:sz w:val="20"/>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II—OTHER INFORMATION</w:t>
      </w:r>
    </w:p>
    <w:p>
      <w:pPr>
        <w:pStyle w:val="TextBody"/>
        <w:bidi w:val="0"/>
        <w:spacing w:before="120" w:after="283"/>
        <w:jc w:val="both"/>
        <w:rPr>
          <w:rFonts w:ascii="Arial" w:hAnsi="Arial"/>
          <w:b/>
          <w:color w:val="000000"/>
          <w:sz w:val="20"/>
        </w:rPr>
      </w:pPr>
      <w:bookmarkStart w:id="16" w:name="item_1_legal_proceedings"/>
      <w:bookmarkEnd w:id="16"/>
      <w:r>
        <w:rPr>
          <w:rFonts w:ascii="Arial" w:hAnsi="Arial"/>
          <w:b/>
          <w:color w:val="000000"/>
          <w:sz w:val="20"/>
        </w:rPr>
        <w:t>Item 1. Legal Proceedings.</w:t>
      </w:r>
    </w:p>
    <w:p>
      <w:pPr>
        <w:pStyle w:val="TextBody"/>
        <w:bidi w:val="0"/>
        <w:spacing w:before="120" w:after="283"/>
        <w:jc w:val="both"/>
        <w:rPr>
          <w:rFonts w:ascii="Arial" w:hAnsi="Arial"/>
          <w:color w:val="000000"/>
          <w:sz w:val="20"/>
        </w:rPr>
      </w:pPr>
      <w:r>
        <w:rPr>
          <w:rFonts w:ascii="Arial" w:hAnsi="Arial"/>
          <w:color w:val="000000"/>
          <w:sz w:val="20"/>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120" w:after="283"/>
        <w:jc w:val="both"/>
        <w:rPr>
          <w:rFonts w:ascii="Arial" w:hAnsi="Arial"/>
          <w:b/>
          <w:color w:val="000000"/>
          <w:sz w:val="20"/>
        </w:rPr>
      </w:pPr>
      <w:bookmarkStart w:id="17" w:name="item_1a_risk_factors"/>
      <w:bookmarkEnd w:id="17"/>
      <w:r>
        <w:rPr>
          <w:rFonts w:ascii="Arial" w:hAnsi="Arial"/>
          <w:b/>
          <w:color w:val="000000"/>
          <w:sz w:val="20"/>
        </w:rPr>
        <w:t>Item 1A. Risk Factors.</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in the risk factors previously disclosed in Item 1A. of our 2023 Form 10-K.</w:t>
      </w:r>
    </w:p>
    <w:p>
      <w:pPr>
        <w:pStyle w:val="TextBody"/>
        <w:bidi w:val="0"/>
        <w:spacing w:before="120" w:after="283"/>
        <w:jc w:val="left"/>
        <w:rPr>
          <w:rFonts w:ascii="Arial" w:hAnsi="Arial"/>
          <w:b/>
          <w:color w:val="000000"/>
          <w:sz w:val="20"/>
        </w:rPr>
      </w:pPr>
      <w:bookmarkStart w:id="18" w:name="item_2_unregistered_sales_of_equity"/>
      <w:bookmarkEnd w:id="18"/>
      <w:r>
        <w:rPr>
          <w:rFonts w:ascii="Arial" w:hAnsi="Arial"/>
          <w:b/>
          <w:color w:val="000000"/>
          <w:sz w:val="20"/>
        </w:rPr>
        <w:t>Item 2. Unregistered Sales of Equity Securities and Use of Proceeds.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19" w:name="item_3_defaults_upon_senior_securities"/>
      <w:bookmarkEnd w:id="19"/>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20" w:name="item_4_mine_safety_disclosures"/>
      <w:bookmarkEnd w:id="20"/>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120" w:after="283"/>
        <w:jc w:val="left"/>
        <w:rPr>
          <w:rFonts w:ascii="Arial" w:hAnsi="Arial"/>
          <w:b/>
          <w:color w:val="000000"/>
          <w:sz w:val="20"/>
        </w:rPr>
      </w:pPr>
      <w:bookmarkStart w:id="21" w:name="item_5_other_information"/>
      <w:bookmarkEnd w:id="21"/>
      <w:r>
        <w:rPr>
          <w:rFonts w:ascii="Arial" w:hAnsi="Arial"/>
          <w:b/>
          <w:color w:val="000000"/>
          <w:sz w:val="20"/>
        </w:rPr>
        <w:t>Item 5. Other Information.</w:t>
      </w:r>
    </w:p>
    <w:p>
      <w:pPr>
        <w:pStyle w:val="TextBody"/>
        <w:bidi w:val="0"/>
        <w:spacing w:before="120" w:after="283"/>
        <w:jc w:val="left"/>
        <w:rPr>
          <w:rFonts w:ascii="Times New Roman" w:hAnsi="Times New Roman"/>
          <w:sz w:val="20"/>
        </w:rPr>
      </w:pPr>
      <w:r>
        <w:rPr>
          <w:rFonts w:ascii="Arial" w:hAnsi="Arial"/>
          <w:color w:val="000000"/>
          <w:sz w:val="20"/>
        </w:rPr>
        <w:t>Except as set forth below, during the quarter ended June 30, 2024, none of the Company’s directors or officers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such terms are defined in Item 408(a) of Regulation S</w:t>
        <w:noBreakHyphen/>
        <w:t>K.</w:t>
      </w:r>
    </w:p>
    <w:p>
      <w:pPr>
        <w:pStyle w:val="TextBody"/>
        <w:bidi w:val="0"/>
        <w:spacing w:before="120" w:after="283"/>
        <w:jc w:val="left"/>
        <w:rPr>
          <w:rFonts w:ascii="Times New Roman" w:hAnsi="Times New Roman"/>
          <w:sz w:val="20"/>
        </w:rPr>
      </w:pPr>
      <w:r>
        <w:rPr>
          <w:rFonts w:ascii="Arial" w:hAnsi="Arial"/>
          <w:color w:val="000000"/>
          <w:sz w:val="20"/>
        </w:rPr>
        <w:t>On June 13, 2024, Sanjay Kalra, the Company’s Chief Financial Officer, adopted</w:t>
      </w:r>
      <w:r>
        <w:rPr>
          <w:rFonts w:ascii="Times New Roman" w:hAnsi="Times New Roman"/>
          <w:color w:val="000000"/>
          <w:sz w:val="20"/>
        </w:rPr>
        <w:t xml:space="preserve"> </w:t>
      </w:r>
      <w:r>
        <w:rPr>
          <w:rFonts w:ascii="Arial" w:hAnsi="Arial"/>
          <w:color w:val="000000"/>
          <w:sz w:val="20"/>
        </w:rPr>
        <w:t>a trading arrangement for the sale of the Company’s Class A common stock (a “Rule 10b5-1 Trading Plan”) that is intended to satisfy the affirmative defense conditions of Securities Exchange Act Rule 10b5-1(c). Mr. Kalra’s Rule 10b5-1 Trading Plan, which expires June 14, 2025, provides for the sale of up to 50,000</w:t>
      </w:r>
      <w:r>
        <w:rPr>
          <w:rFonts w:ascii="Times New Roman" w:hAnsi="Times New Roman"/>
          <w:color w:val="000000"/>
          <w:sz w:val="20"/>
        </w:rPr>
        <w:t xml:space="preserve"> </w:t>
      </w:r>
      <w:r>
        <w:rPr>
          <w:rFonts w:ascii="Arial" w:hAnsi="Arial"/>
          <w:color w:val="000000"/>
          <w:sz w:val="20"/>
        </w:rPr>
        <w:t>shares of common stock pursuant to the terms of the plan.</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bookmarkStart w:id="22" w:name="item_6_exhibits"/>
      <w:bookmarkEnd w:id="22"/>
      <w:r>
        <w:rPr>
          <w:rFonts w:ascii="Arial" w:hAnsi="Arial"/>
          <w:b/>
          <w:color w:val="000000"/>
          <w:sz w:val="20"/>
        </w:rPr>
        <w:t>Item 6. Exhibits.</w:t>
      </w:r>
    </w:p>
    <w:p>
      <w:pPr>
        <w:pStyle w:val="TextBody"/>
        <w:bidi w:val="0"/>
        <w:spacing w:before="240" w:after="120"/>
        <w:jc w:val="left"/>
        <w:rPr>
          <w:rFonts w:ascii="Arial" w:hAnsi="Arial"/>
          <w:b/>
          <w:color w:val="000000"/>
          <w:sz w:val="20"/>
        </w:rPr>
      </w:pPr>
      <w:r>
        <w:rPr>
          <w:rFonts w:ascii="Arial" w:hAnsi="Arial"/>
          <w:b/>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863"/>
        <w:gridCol w:w="146"/>
        <w:gridCol w:w="4056"/>
        <w:gridCol w:w="146"/>
        <w:gridCol w:w="601"/>
        <w:gridCol w:w="146"/>
        <w:gridCol w:w="690"/>
        <w:gridCol w:w="146"/>
        <w:gridCol w:w="766"/>
        <w:gridCol w:w="146"/>
        <w:gridCol w:w="1118"/>
        <w:gridCol w:w="146"/>
        <w:gridCol w:w="1235"/>
      </w:tblGrid>
      <w:tr>
        <w:trPr/>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8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8"/>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63"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9"/>
              </w:rPr>
            </w:pPr>
            <w:r>
              <w:rPr>
                <w:rFonts w:ascii="Arial" w:hAnsi="Arial"/>
                <w:b/>
                <w:color w:val="000000"/>
                <w:sz w:val="19"/>
              </w:rPr>
              <w:t>Exhibit</w:t>
            </w:r>
          </w:p>
          <w:p>
            <w:pPr>
              <w:pStyle w:val="TableContents"/>
              <w:bidi w:val="0"/>
              <w:spacing w:before="0" w:after="283"/>
              <w:jc w:val="center"/>
              <w:rPr>
                <w:rFonts w:ascii="Arial" w:hAnsi="Arial"/>
                <w:b/>
                <w:color w:val="000000"/>
                <w:sz w:val="19"/>
              </w:rPr>
            </w:pPr>
            <w:r>
              <w:rPr>
                <w:rFonts w:ascii="Arial" w:hAnsi="Arial"/>
                <w:b/>
                <w:color w:val="000000"/>
                <w:sz w:val="19"/>
              </w:rP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9"/>
              </w:rPr>
            </w:pPr>
            <w:r>
              <w:rPr>
                <w:rFonts w:ascii="Arial" w:hAnsi="Arial"/>
                <w:b/>
                <w:color w:val="000000"/>
                <w:sz w:val="19"/>
              </w:rPr>
              <w:t>Filed/</w:t>
            </w:r>
          </w:p>
          <w:p>
            <w:pPr>
              <w:pStyle w:val="TableContents"/>
              <w:bidi w:val="0"/>
              <w:spacing w:before="0" w:after="283"/>
              <w:jc w:val="center"/>
              <w:rPr>
                <w:rFonts w:ascii="Arial" w:hAnsi="Arial"/>
                <w:b/>
                <w:color w:val="000000"/>
                <w:sz w:val="19"/>
              </w:rPr>
            </w:pPr>
            <w:r>
              <w:rPr>
                <w:rFonts w:ascii="Arial" w:hAnsi="Arial"/>
                <w:b/>
                <w:color w:val="000000"/>
                <w:sz w:val="19"/>
              </w:rPr>
              <w:t>Furnished Herewith</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19"/>
                  <w:u w:val="single"/>
                </w:rPr>
                <w:t>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May 28, 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9"/>
                  <w:u w:val="single"/>
                </w:rPr>
                <w:t>Amendment to 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August 7,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9"/>
                  <w:u w:val="single"/>
                </w:rPr>
                <w:t>Amended and Restated Bylaws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November 14, 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1_1.htm">
              <w:r>
                <w:rPr>
                  <w:rStyle w:val="InternetLink"/>
                  <w:rFonts w:ascii="Arial" w:hAnsi="Arial"/>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1_2.htm">
              <w:r>
                <w:rPr>
                  <w:rStyle w:val="InternetLink"/>
                  <w:rFonts w:ascii="Arial" w:hAnsi="Arial"/>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2_1.htm">
              <w:r>
                <w:rPr>
                  <w:rStyle w:val="InternetLink"/>
                  <w:rFonts w:ascii="Arial" w:hAnsi="Arial"/>
                  <w:color w:val="0000FF"/>
                  <w:sz w:val="19"/>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2_2.htm">
              <w:r>
                <w:rPr>
                  <w:rStyle w:val="InternetLink"/>
                  <w:rFonts w:ascii="Arial" w:hAnsi="Arial"/>
                  <w:color w:val="0000FF"/>
                  <w:sz w:val="19"/>
                  <w:u w:val="single"/>
                </w:rPr>
                <w:t>Certification of Principal Financial Officer Pursuant to 18 U.S.C. Section 1350, as Adopted Pursuant to Section 906 of the Sarbanes-Oxley Act of 2002.</w:t>
              </w:r>
            </w:hyperlink>
            <w:hyperlink w:anchor="pay-ex32_2.htm">
              <w:r>
                <w:rPr>
                  <w:rStyle w:val="InternetLink"/>
                  <w:rFonts w:ascii="Times New Roman" w:hAnsi="Times New Roman"/>
                  <w:color w:val="0000FF"/>
                  <w:sz w:val="19"/>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12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3" w:name="signatures"/>
      <w:bookmarkEnd w:id="23"/>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229" w:type="dxa"/>
        <w:jc w:val="left"/>
        <w:tblInd w:w="0" w:type="dxa"/>
        <w:tblLayout w:type="fixed"/>
        <w:tblCellMar>
          <w:top w:w="28" w:type="dxa"/>
          <w:left w:w="28" w:type="dxa"/>
          <w:bottom w:w="28" w:type="dxa"/>
          <w:right w:w="28" w:type="dxa"/>
        </w:tblCellMar>
      </w:tblPr>
      <w:tblGrid>
        <w:gridCol w:w="1966"/>
        <w:gridCol w:w="146"/>
        <w:gridCol w:w="406"/>
        <w:gridCol w:w="47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PAYMENTUS HOLDINGS, INC.</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Dushyant Sharma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Dushyant Sharma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Chairman, President and 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Sanjay Kalra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Sanjay Kalra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Senior Vice President and Chief Financial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Financial and Accounting Officer)</w:t>
            </w:r>
          </w:p>
        </w:tc>
      </w:tr>
    </w:tbl>
    <w:p>
      <w:pPr>
        <w:pStyle w:val="TextBody"/>
        <w:bidi w:val="0"/>
        <w:spacing w:before="12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24" w:name="pay-ex31_1.htm"/>
      <w:bookmarkStart w:id="25" w:name="kspayex31_1"/>
      <w:bookmarkEnd w:id="24"/>
      <w:bookmarkEnd w:id="25"/>
      <w:r>
        <w:rPr/>
        <w:t> </w:t>
      </w:r>
      <w:r>
        <w:br w:type="page"/>
      </w:r>
    </w:p>
    <w:p>
      <w:pPr>
        <w:pStyle w:val="TextBody"/>
        <w:bidi w:val="0"/>
        <w:spacing w:before="0" w:after="160"/>
        <w:jc w:val="lef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 OF PRINCIPAL EXECUTIVE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18"/>
        </w:rPr>
        <w:t>I, Dushyant Sharma,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18"/>
        </w:rPr>
      </w:pPr>
      <w:r>
        <w:rPr>
          <w:rFonts w:ascii="Arial" w:hAnsi="Arial"/>
          <w:color w:val="000000"/>
          <w:sz w:val="18"/>
        </w:rPr>
        <w:t>1.</w:t>
      </w:r>
    </w:p>
    <w:p>
      <w:pPr>
        <w:pStyle w:val="TextBody"/>
        <w:bidi w:val="0"/>
        <w:spacing w:before="0" w:after="240"/>
        <w:jc w:val="left"/>
        <w:rPr>
          <w:rFonts w:ascii="Arial" w:hAnsi="Arial"/>
          <w:color w:val="000000"/>
          <w:sz w:val="18"/>
        </w:rPr>
      </w:pPr>
      <w:r>
        <w:rPr>
          <w:rFonts w:ascii="Arial" w:hAnsi="Arial"/>
          <w:color w:val="000000"/>
          <w:sz w:val="18"/>
        </w:rPr>
        <w:t>I have reviewed this Quarterly Report on Form 10-Q of Paymentus Holdings, Inc.;</w:t>
      </w:r>
    </w:p>
    <w:p>
      <w:pPr>
        <w:pStyle w:val="TextBody"/>
        <w:bidi w:val="0"/>
        <w:spacing w:before="120" w:after="160"/>
        <w:jc w:val="left"/>
        <w:rPr>
          <w:rFonts w:ascii="Arial" w:hAnsi="Arial"/>
          <w:color w:val="000000"/>
          <w:sz w:val="18"/>
        </w:rPr>
      </w:pPr>
      <w:r>
        <w:rPr>
          <w:rFonts w:ascii="Arial" w:hAnsi="Arial"/>
          <w:color w:val="000000"/>
          <w:sz w:val="18"/>
        </w:rPr>
        <w:t>2.</w:t>
      </w:r>
    </w:p>
    <w:p>
      <w:pPr>
        <w:pStyle w:val="TextBody"/>
        <w:bidi w:val="0"/>
        <w:spacing w:before="120" w:after="16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color w:val="000000"/>
          <w:sz w:val="18"/>
        </w:rPr>
      </w:pPr>
      <w:r>
        <w:rPr>
          <w:rFonts w:ascii="Arial" w:hAnsi="Arial"/>
          <w:color w:val="000000"/>
          <w:sz w:val="18"/>
        </w:rPr>
        <w:t>3.</w:t>
      </w:r>
    </w:p>
    <w:p>
      <w:pPr>
        <w:pStyle w:val="TextBody"/>
        <w:bidi w:val="0"/>
        <w:spacing w:before="120" w:after="160"/>
        <w:jc w:val="left"/>
        <w:rPr>
          <w:rFonts w:ascii="Arial" w:hAnsi="Arial"/>
          <w:color w:val="000000"/>
          <w:sz w:val="18"/>
        </w:rPr>
      </w:pPr>
      <w:r>
        <w:rPr>
          <w:rFonts w:ascii="Arial" w:hAnsi="Arial"/>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color w:val="000000"/>
          <w:sz w:val="18"/>
        </w:rPr>
      </w:pPr>
      <w:r>
        <w:rPr>
          <w:rFonts w:ascii="Arial" w:hAnsi="Arial"/>
          <w:color w:val="000000"/>
          <w:sz w:val="18"/>
        </w:rPr>
        <w:t>4.</w:t>
      </w:r>
    </w:p>
    <w:p>
      <w:pPr>
        <w:pStyle w:val="TextBody"/>
        <w:bidi w:val="0"/>
        <w:spacing w:before="120" w:after="160"/>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color w:val="000000"/>
          <w:sz w:val="18"/>
        </w:rPr>
      </w:pPr>
      <w:r>
        <w:rPr>
          <w:rFonts w:ascii="Arial" w:hAnsi="Arial"/>
          <w:color w:val="000000"/>
          <w:sz w:val="18"/>
        </w:rPr>
        <w:t>5.</w:t>
      </w:r>
    </w:p>
    <w:p>
      <w:pPr>
        <w:pStyle w:val="TextBody"/>
        <w:bidi w:val="0"/>
        <w:spacing w:before="120" w:after="160"/>
        <w:jc w:val="left"/>
        <w:rPr>
          <w:rFonts w:ascii="Arial" w:hAnsi="Arial"/>
          <w:color w:val="000000"/>
          <w:sz w:val="18"/>
        </w:rPr>
      </w:pPr>
      <w:r>
        <w:rPr>
          <w:rFonts w:ascii="Arial" w:hAnsi="Arial"/>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629" w:type="dxa"/>
        <w:jc w:val="left"/>
        <w:tblInd w:w="0" w:type="dxa"/>
        <w:tblLayout w:type="fixed"/>
        <w:tblCellMar>
          <w:top w:w="28" w:type="dxa"/>
          <w:left w:w="28" w:type="dxa"/>
          <w:bottom w:w="28" w:type="dxa"/>
          <w:right w:w="28" w:type="dxa"/>
        </w:tblCellMar>
      </w:tblPr>
      <w:tblGrid>
        <w:gridCol w:w="1831"/>
        <w:gridCol w:w="146"/>
        <w:gridCol w:w="361"/>
        <w:gridCol w:w="42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 </w:t>
            </w:r>
            <w:r>
              <w:rPr>
                <w:rFonts w:ascii="Arial" w:hAnsi="Arial"/>
                <w:i/>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 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pay-ex31_2.htm"/>
      <w:bookmarkStart w:id="27" w:name="kspayex31_2"/>
      <w:bookmarkEnd w:id="26"/>
      <w:bookmarkEnd w:id="27"/>
      <w:r>
        <w:rPr/>
        <w:t> </w:t>
      </w:r>
      <w:r>
        <w:br w:type="page"/>
      </w:r>
    </w:p>
    <w:p>
      <w:pPr>
        <w:pStyle w:val="TextBody"/>
        <w:bidi w:val="0"/>
        <w:spacing w:before="0" w:after="160"/>
        <w:jc w:val="right"/>
        <w:rPr>
          <w:rFonts w:ascii="Times New Roman" w:hAnsi="Times New Roman"/>
          <w:sz w:val="20"/>
        </w:rPr>
      </w:pPr>
      <w:r>
        <w:rPr>
          <w:rFonts w:ascii="Arial" w:hAnsi="Arial"/>
          <w:b/>
          <w:color w:val="000000"/>
          <w:sz w:val="18"/>
        </w:rPr>
        <w:t>Exhibit 31.2</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center"/>
        <w:rPr>
          <w:rFonts w:ascii="Arial" w:hAnsi="Arial"/>
          <w:b/>
          <w:color w:val="000000"/>
          <w:sz w:val="18"/>
        </w:rPr>
      </w:pPr>
      <w:r>
        <w:rPr>
          <w:rFonts w:ascii="Arial" w:hAnsi="Arial"/>
          <w:b/>
          <w:color w:val="000000"/>
          <w:sz w:val="18"/>
        </w:rPr>
        <w:t>CERTIFICATION OF PRINCIPAL FINANCIAL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18"/>
        </w:rPr>
        <w:t>I, Sanjay Kalra,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18"/>
        </w:rPr>
      </w:pPr>
      <w:r>
        <w:rPr>
          <w:rFonts w:ascii="Arial" w:hAnsi="Arial"/>
          <w:color w:val="000000"/>
          <w:sz w:val="18"/>
        </w:rPr>
        <w:t>1.</w:t>
      </w:r>
    </w:p>
    <w:p>
      <w:pPr>
        <w:pStyle w:val="TextBody"/>
        <w:bidi w:val="0"/>
        <w:spacing w:before="0" w:after="240"/>
        <w:jc w:val="left"/>
        <w:rPr>
          <w:rFonts w:ascii="Arial" w:hAnsi="Arial"/>
          <w:color w:val="000000"/>
          <w:sz w:val="18"/>
        </w:rPr>
      </w:pPr>
      <w:r>
        <w:rPr>
          <w:rFonts w:ascii="Arial" w:hAnsi="Arial"/>
          <w:color w:val="000000"/>
          <w:sz w:val="18"/>
        </w:rPr>
        <w:t>I have reviewed this Quarterly Report on Form 10-Q of Paymentus Holdings, Inc.;</w:t>
      </w:r>
    </w:p>
    <w:p>
      <w:pPr>
        <w:pStyle w:val="TextBody"/>
        <w:bidi w:val="0"/>
        <w:spacing w:before="120" w:after="160"/>
        <w:jc w:val="left"/>
        <w:rPr>
          <w:rFonts w:ascii="Arial" w:hAnsi="Arial"/>
          <w:color w:val="000000"/>
          <w:sz w:val="18"/>
        </w:rPr>
      </w:pPr>
      <w:r>
        <w:rPr>
          <w:rFonts w:ascii="Arial" w:hAnsi="Arial"/>
          <w:color w:val="000000"/>
          <w:sz w:val="18"/>
        </w:rPr>
        <w:t>2.</w:t>
      </w:r>
    </w:p>
    <w:p>
      <w:pPr>
        <w:pStyle w:val="TextBody"/>
        <w:bidi w:val="0"/>
        <w:spacing w:before="120" w:after="16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color w:val="000000"/>
          <w:sz w:val="18"/>
        </w:rPr>
      </w:pPr>
      <w:r>
        <w:rPr>
          <w:rFonts w:ascii="Arial" w:hAnsi="Arial"/>
          <w:color w:val="000000"/>
          <w:sz w:val="18"/>
        </w:rPr>
        <w:t>3.</w:t>
      </w:r>
    </w:p>
    <w:p>
      <w:pPr>
        <w:pStyle w:val="TextBody"/>
        <w:bidi w:val="0"/>
        <w:spacing w:before="120" w:after="160"/>
        <w:jc w:val="left"/>
        <w:rPr>
          <w:rFonts w:ascii="Arial" w:hAnsi="Arial"/>
          <w:color w:val="000000"/>
          <w:sz w:val="18"/>
        </w:rPr>
      </w:pPr>
      <w:r>
        <w:rPr>
          <w:rFonts w:ascii="Arial" w:hAnsi="Arial"/>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color w:val="000000"/>
          <w:sz w:val="18"/>
        </w:rPr>
      </w:pPr>
      <w:r>
        <w:rPr>
          <w:rFonts w:ascii="Arial" w:hAnsi="Arial"/>
          <w:color w:val="000000"/>
          <w:sz w:val="18"/>
        </w:rPr>
        <w:t>4.</w:t>
      </w:r>
    </w:p>
    <w:p>
      <w:pPr>
        <w:pStyle w:val="TextBody"/>
        <w:bidi w:val="0"/>
        <w:spacing w:before="120" w:after="160"/>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color w:val="000000"/>
          <w:sz w:val="18"/>
        </w:rPr>
      </w:pPr>
      <w:r>
        <w:rPr>
          <w:rFonts w:ascii="Arial" w:hAnsi="Arial"/>
          <w:color w:val="000000"/>
          <w:sz w:val="18"/>
        </w:rPr>
        <w:t>5.</w:t>
      </w:r>
    </w:p>
    <w:p>
      <w:pPr>
        <w:pStyle w:val="TextBody"/>
        <w:bidi w:val="0"/>
        <w:spacing w:before="120" w:after="160"/>
        <w:jc w:val="left"/>
        <w:rPr>
          <w:rFonts w:ascii="Arial" w:hAnsi="Arial"/>
          <w:color w:val="000000"/>
          <w:sz w:val="18"/>
        </w:rPr>
      </w:pPr>
      <w:r>
        <w:rPr>
          <w:rFonts w:ascii="Arial" w:hAnsi="Arial"/>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629" w:type="dxa"/>
        <w:jc w:val="left"/>
        <w:tblInd w:w="0" w:type="dxa"/>
        <w:tblLayout w:type="fixed"/>
        <w:tblCellMar>
          <w:top w:w="28" w:type="dxa"/>
          <w:left w:w="28" w:type="dxa"/>
          <w:bottom w:w="28" w:type="dxa"/>
          <w:right w:w="28" w:type="dxa"/>
        </w:tblCellMar>
      </w:tblPr>
      <w:tblGrid>
        <w:gridCol w:w="1831"/>
        <w:gridCol w:w="146"/>
        <w:gridCol w:w="361"/>
        <w:gridCol w:w="42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ay-ex32_1.htm"/>
      <w:bookmarkStart w:id="29" w:name="kspayex32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Paymentus Holdings, Inc. (the “Company”) for the three and six months period ended June 30, 2024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(1)</w:t>
            </w:r>
          </w:p>
        </w:tc>
        <w:tc>
          <w:tcPr>
            <w:tcW w:w="9865"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(2)</w:t>
            </w:r>
          </w:p>
        </w:tc>
        <w:tc>
          <w:tcPr>
            <w:tcW w:w="146" w:type="dxa"/>
            <w:tcBorders/>
            <w:vAlign w:val="center"/>
          </w:tcPr>
          <w:p>
            <w:pPr>
              <w:pStyle w:val="TableContents"/>
              <w:bidi w:val="0"/>
              <w:spacing w:before="240" w:after="283"/>
              <w:jc w:val="left"/>
              <w:rPr/>
            </w:pPr>
            <w:r>
              <w:rPr/>
              <w:t> </w:t>
            </w:r>
          </w:p>
        </w:tc>
        <w:tc>
          <w:tcPr>
            <w:tcW w:w="9738"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 as of and for the periods presented in the Report.</w:t>
            </w:r>
          </w:p>
        </w:tc>
      </w:tr>
    </w:tbl>
    <w:tbl>
      <w:tblPr>
        <w:tblW w:w="4889" w:type="dxa"/>
        <w:jc w:val="left"/>
        <w:tblInd w:w="0" w:type="dxa"/>
        <w:tblLayout w:type="fixed"/>
        <w:tblCellMar>
          <w:top w:w="28" w:type="dxa"/>
          <w:left w:w="28" w:type="dxa"/>
          <w:bottom w:w="28" w:type="dxa"/>
          <w:right w:w="28" w:type="dxa"/>
        </w:tblCellMar>
      </w:tblPr>
      <w:tblGrid>
        <w:gridCol w:w="1831"/>
        <w:gridCol w:w="146"/>
        <w:gridCol w:w="361"/>
        <w:gridCol w:w="255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25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 </w:t>
            </w:r>
            <w:r>
              <w:rPr>
                <w:rFonts w:ascii="Arial" w:hAnsi="Arial"/>
                <w:i/>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pay-ex32_2.htm"/>
      <w:bookmarkStart w:id="31" w:name="kspayex32_2"/>
      <w:bookmarkEnd w:id="30"/>
      <w:bookmarkEnd w:id="31"/>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Paymentus Holdings, Inc. (the “Company”) for the three and six months period ended June 30, 2024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(1)</w:t>
            </w:r>
          </w:p>
        </w:tc>
        <w:tc>
          <w:tcPr>
            <w:tcW w:w="9865"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(2)</w:t>
            </w:r>
          </w:p>
        </w:tc>
        <w:tc>
          <w:tcPr>
            <w:tcW w:w="146" w:type="dxa"/>
            <w:tcBorders/>
            <w:vAlign w:val="center"/>
          </w:tcPr>
          <w:p>
            <w:pPr>
              <w:pStyle w:val="TableContents"/>
              <w:bidi w:val="0"/>
              <w:spacing w:before="240" w:after="283"/>
              <w:jc w:val="left"/>
              <w:rPr/>
            </w:pPr>
            <w:r>
              <w:rPr/>
              <w:t> </w:t>
            </w:r>
          </w:p>
        </w:tc>
        <w:tc>
          <w:tcPr>
            <w:tcW w:w="9738" w:type="dxa"/>
            <w:tcBorders/>
            <w:vAlign w:val="center"/>
          </w:tcPr>
          <w:p>
            <w:pPr>
              <w:pStyle w:val="TableContents"/>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 as of and for the periods presented in the Report.</w:t>
            </w:r>
          </w:p>
        </w:tc>
      </w:tr>
    </w:tbl>
    <w:tbl>
      <w:tblPr>
        <w:tblW w:w="6629" w:type="dxa"/>
        <w:jc w:val="left"/>
        <w:tblInd w:w="0" w:type="dxa"/>
        <w:tblLayout w:type="fixed"/>
        <w:tblCellMar>
          <w:top w:w="28" w:type="dxa"/>
          <w:left w:w="28" w:type="dxa"/>
          <w:bottom w:w="28" w:type="dxa"/>
          <w:right w:w="28" w:type="dxa"/>
        </w:tblCellMar>
      </w:tblPr>
      <w:tblGrid>
        <w:gridCol w:w="1831"/>
        <w:gridCol w:w="146"/>
        <w:gridCol w:w="361"/>
        <w:gridCol w:w="42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156/000156459021030840/ck7045120534-ex31_9.htm" TargetMode="External"/><Relationship Id="rId3" Type="http://schemas.openxmlformats.org/officeDocument/2006/relationships/hyperlink" Target="https://www.sec.gov/Archives/edgar/data/1841156/000095017023039173/pay-ex3_1.htm" TargetMode="External"/><Relationship Id="rId4" Type="http://schemas.openxmlformats.org/officeDocument/2006/relationships/hyperlink" Target="https://www.sec.gov/Archives/edgar/data/1841156/000095017022025091/pay-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14493</Words>
  <Characters>80347</Characters>
  <CharactersWithSpaces>95384</CharactersWithSpaces>
  <Paragraphs>4921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