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ay-20260630.htm"/>
      <w:bookmarkStart w:id="1" w:name="kspay20260630"/>
      <w:bookmarkEnd w:id="0"/>
      <w:bookmarkEnd w:id="1"/>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rFonts w:ascii="Arial" w:hAnsi="Arial"/>
          <w:b/>
          <w:color w:val="000000"/>
          <w:sz w:val="20"/>
        </w:rPr>
      </w:pPr>
      <w:r>
        <w:rPr>
          <w:rFonts w:ascii="Arial" w:hAnsi="Arial"/>
          <w:b/>
          <w:color w:val="000000"/>
          <w:sz w:val="20"/>
        </w:rPr>
        <w:t>FORM 10-Q</w:t>
      </w:r>
    </w:p>
    <w:p>
      <w:pPr>
        <w:pStyle w:val="TextBody"/>
        <w:bidi w:val="0"/>
        <w:jc w:val="left"/>
        <w:rPr>
          <w:rFonts w:ascii="Arial" w:hAnsi="Arial"/>
          <w:b/>
          <w:color w:val="000000"/>
          <w:sz w:val="20"/>
        </w:rPr>
      </w:pPr>
      <w:r>
        <w:rPr>
          <w:rFonts w:ascii="Arial" w:hAnsi="Arial"/>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center"/>
        <w:rPr>
          <w:rFonts w:ascii="Arial" w:hAnsi="Arial"/>
          <w:b/>
          <w:color w:val="000000"/>
          <w:sz w:val="20"/>
        </w:rPr>
      </w:pPr>
      <w:r>
        <w:rPr>
          <w:rFonts w:ascii="Arial" w:hAnsi="Arial"/>
          <w:b/>
          <w:color w:val="000000"/>
          <w:sz w:val="20"/>
        </w:rPr>
        <w:t>For the quarterly period ended June 30, 2026</w:t>
      </w:r>
    </w:p>
    <w:p>
      <w:pPr>
        <w:pStyle w:val="TextBody"/>
        <w:bidi w:val="0"/>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Commission File Number: 001-40429</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tbl>
      <w:tblPr>
        <w:tblW w:w="5537" w:type="dxa"/>
        <w:jc w:val="left"/>
        <w:tblInd w:w="0" w:type="dxa"/>
        <w:tblLayout w:type="fixed"/>
        <w:tblCellMar>
          <w:top w:w="28" w:type="dxa"/>
          <w:left w:w="28" w:type="dxa"/>
          <w:bottom w:w="28" w:type="dxa"/>
          <w:right w:w="28" w:type="dxa"/>
        </w:tblCellMar>
      </w:tblPr>
      <w:tblGrid>
        <w:gridCol w:w="3736"/>
        <w:gridCol w:w="1801"/>
      </w:tblGrid>
      <w:tr>
        <w:trPr/>
        <w:tc>
          <w:tcPr>
            <w:tcW w:w="373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45-3188251</w:t>
            </w:r>
          </w:p>
        </w:tc>
      </w:tr>
      <w:tr>
        <w:trPr/>
        <w:tc>
          <w:tcPr>
            <w:tcW w:w="373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(State or other jurisdiction of</w:t>
            </w:r>
          </w:p>
          <w:p>
            <w:pPr>
              <w:pStyle w:val="TableContents"/>
              <w:bidi w:val="0"/>
              <w:spacing w:before="0" w:after="283"/>
              <w:jc w:val="center"/>
              <w:rPr>
                <w:rFonts w:ascii="Arial" w:hAnsi="Arial"/>
                <w:b/>
                <w:color w:val="000000"/>
                <w:sz w:val="20"/>
              </w:rPr>
            </w:pPr>
            <w:r>
              <w:rPr>
                <w:rFonts w:ascii="Arial" w:hAnsi="Arial"/>
                <w:b/>
                <w:color w:val="000000"/>
                <w:sz w:val="20"/>
              </w:rPr>
              <w:t>incorporation or organization)</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(I.R.S. Employer</w:t>
              <w:br/>
              <w:t>Identification No.)</w:t>
            </w:r>
          </w:p>
        </w:tc>
      </w:tr>
      <w:tr>
        <w:trPr/>
        <w:tc>
          <w:tcPr>
            <w:tcW w:w="373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15601 Dallas Parkway, Suite 600</w:t>
            </w:r>
          </w:p>
          <w:p>
            <w:pPr>
              <w:pStyle w:val="TableContents"/>
              <w:bidi w:val="0"/>
              <w:spacing w:before="0" w:after="283"/>
              <w:jc w:val="center"/>
              <w:rPr>
                <w:rFonts w:ascii="Arial" w:hAnsi="Arial"/>
                <w:b/>
                <w:color w:val="000000"/>
                <w:sz w:val="20"/>
              </w:rPr>
            </w:pPr>
            <w:r>
              <w:rPr>
                <w:rFonts w:ascii="Arial" w:hAnsi="Arial"/>
                <w:b/>
                <w:color w:val="000000"/>
                <w:sz w:val="20"/>
              </w:rPr>
              <w:t>Addison, TX</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75001</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(Address of principal executive offices)</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(Zip Code)</w:t>
            </w:r>
          </w:p>
        </w:tc>
      </w:tr>
    </w:tbl>
    <w:p>
      <w:pPr>
        <w:pStyle w:val="TextBody"/>
        <w:bidi w:val="0"/>
        <w:jc w:val="center"/>
        <w:rPr>
          <w:rFonts w:ascii="Arial" w:hAnsi="Arial"/>
          <w:b/>
          <w:color w:val="000000"/>
          <w:sz w:val="20"/>
        </w:rPr>
      </w:pPr>
      <w:r>
        <w:rPr>
          <w:rFonts w:ascii="Arial" w:hAnsi="Arial"/>
          <w:b/>
          <w:color w:val="000000"/>
          <w:sz w:val="20"/>
        </w:rPr>
        <w:t>(888) 440-4826</w:t>
      </w:r>
    </w:p>
    <w:p>
      <w:pPr>
        <w:pStyle w:val="TextBody"/>
        <w:bidi w:val="0"/>
        <w:jc w:val="center"/>
        <w:rPr>
          <w:rFonts w:ascii="Times New Roman" w:hAnsi="Times New Roman"/>
          <w:sz w:val="20"/>
        </w:rPr>
      </w:pPr>
      <w:r>
        <w:rPr>
          <w:rFonts w:ascii="Arial" w:hAnsi="Arial"/>
          <w:b/>
          <w:color w:val="000000"/>
          <w:sz w:val="20"/>
        </w:rPr>
        <w:t>(Registrant’s telephone number, including area code)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tbl>
      <w:tblPr>
        <w:tblW w:w="8801" w:type="dxa"/>
        <w:jc w:val="left"/>
        <w:tblInd w:w="0" w:type="dxa"/>
        <w:tblLayout w:type="fixed"/>
        <w:tblCellMar>
          <w:top w:w="28" w:type="dxa"/>
          <w:left w:w="28" w:type="dxa"/>
          <w:bottom w:w="28" w:type="dxa"/>
          <w:right w:w="28" w:type="dxa"/>
        </w:tblCellMar>
      </w:tblPr>
      <w:tblGrid>
        <w:gridCol w:w="4006"/>
        <w:gridCol w:w="109"/>
        <w:gridCol w:w="916"/>
        <w:gridCol w:w="109"/>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Class A 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PAY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No ☐</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No ☐</w:t>
      </w:r>
    </w:p>
    <w:p>
      <w:pPr>
        <w:pStyle w:val="TextBody"/>
        <w:bidi w:val="0"/>
        <w:spacing w:before="120" w:after="120"/>
        <w:jc w:val="left"/>
        <w:rPr>
          <w:rFonts w:ascii="Times New Roman" w:hAnsi="Times New Roman"/>
          <w:sz w:val="20"/>
        </w:rPr>
      </w:pPr>
      <w:r>
        <w:rPr>
          <w:rFonts w:ascii="Arial" w:hAnsi="Arial"/>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926" w:type="dxa"/>
        <w:jc w:val="left"/>
        <w:tblInd w:w="0" w:type="dxa"/>
        <w:tblLayout w:type="fixed"/>
        <w:tblCellMar>
          <w:top w:w="28" w:type="dxa"/>
          <w:left w:w="28" w:type="dxa"/>
          <w:bottom w:w="28" w:type="dxa"/>
          <w:right w:w="28" w:type="dxa"/>
        </w:tblCellMar>
      </w:tblPr>
      <w:tblGrid>
        <w:gridCol w:w="2431"/>
        <w:gridCol w:w="109"/>
        <w:gridCol w:w="376"/>
        <w:gridCol w:w="109"/>
        <w:gridCol w:w="2431"/>
        <w:gridCol w:w="109"/>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Arial" w:hAnsi="Arial"/>
          <w:color w:val="000000"/>
          <w:sz w:val="20"/>
        </w:rPr>
      </w:pPr>
      <w:r>
        <w:rPr>
          <w:rFonts w:ascii="Arial" w:hAnsi="Arial"/>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As of July 30, 2026, the registrant had 63,114,220</w:t>
      </w:r>
      <w:r>
        <w:rPr>
          <w:rFonts w:ascii="Times New Roman" w:hAnsi="Times New Roman"/>
          <w:color w:val="000000"/>
          <w:sz w:val="20"/>
        </w:rPr>
        <w:t xml:space="preserve"> </w:t>
      </w:r>
      <w:r>
        <w:rPr>
          <w:rFonts w:ascii="Arial" w:hAnsi="Arial"/>
          <w:color w:val="000000"/>
          <w:sz w:val="20"/>
        </w:rPr>
        <w:t>shares of Class A Common Stock, $0.0001 par value per share and 62,825,427</w:t>
      </w:r>
      <w:r>
        <w:rPr>
          <w:rFonts w:ascii="Times New Roman" w:hAnsi="Times New Roman"/>
          <w:color w:val="000000"/>
          <w:sz w:val="20"/>
        </w:rPr>
        <w:t xml:space="preserve"> </w:t>
      </w:r>
      <w:r>
        <w:rPr>
          <w:rFonts w:ascii="Arial" w:hAnsi="Arial"/>
          <w:color w:val="000000"/>
          <w:sz w:val="20"/>
        </w:rPr>
        <w:t>shares of Class B Common Stock, $0.0001 par value per share, outstanding.</w:t>
      </w:r>
    </w:p>
    <w:p>
      <w:pPr>
        <w:pStyle w:val="TextBody"/>
        <w:pBdr>
          <w:bottom w:val="double" w:sz="1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485" w:type="dxa"/>
        <w:jc w:val="left"/>
        <w:tblInd w:w="0" w:type="dxa"/>
        <w:tblLayout w:type="fixed"/>
        <w:tblCellMar>
          <w:top w:w="28" w:type="dxa"/>
          <w:left w:w="28" w:type="dxa"/>
          <w:bottom w:w="28" w:type="dxa"/>
          <w:right w:w="28" w:type="dxa"/>
        </w:tblCellMar>
      </w:tblPr>
      <w:tblGrid>
        <w:gridCol w:w="886"/>
        <w:gridCol w:w="7846"/>
        <w:gridCol w:w="753"/>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Arial" w:hAnsi="Arial"/>
                <w:b/>
                <w:color w:val="000000"/>
                <w:sz w:val="20"/>
              </w:rPr>
            </w:pPr>
            <w:r>
              <w:rPr>
                <w:rFonts w:ascii="Arial" w:hAnsi="Arial"/>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Arial" w:hAnsi="Arial"/>
                <w:color w:val="000000"/>
                <w:sz w:val="20"/>
                <w:u w:val="single"/>
              </w:rPr>
              <w:t>Special Note Reg</w:t>
            </w:r>
            <w:hyperlink w:anchor="forward_looking_statements">
              <w:r>
                <w:rPr>
                  <w:rStyle w:val="InternetLink"/>
                  <w:rFonts w:ascii="Arial" w:hAnsi="Arial"/>
                  <w:color w:val="000080"/>
                  <w:sz w:val="20"/>
                  <w:u w:val="single"/>
                </w:rPr>
                <w:t>arding Forward-Looking Statements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00"/>
                  <w:sz w:val="20"/>
                  <w:u w:val="single"/>
                </w:rPr>
                <w:t>FINANCIAL INFORMATION</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00"/>
                  <w:sz w:val="20"/>
                  <w:u w:val="single"/>
                </w:rPr>
                <w:t>Financial Statements (Unaudited)</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Arial" w:hAnsi="Arial"/>
                  <w:color w:val="000000"/>
                  <w:sz w:val="20"/>
                  <w:u w:val="single"/>
                </w:rPr>
                <w:t>Condensed Consolidated Balance Sheets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Arial" w:hAnsi="Arial"/>
                  <w:color w:val="000000"/>
                  <w:sz w:val="20"/>
                  <w:u w:val="single"/>
                </w:rPr>
                <w:t>Condensed Consolidated Statements of Operations and Comprehensive Income</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lders_equity_qtd">
              <w:r>
                <w:rPr>
                  <w:rStyle w:val="InternetLink"/>
                  <w:rFonts w:ascii="Arial" w:hAnsi="Arial"/>
                  <w:color w:val="000000"/>
                  <w:sz w:val="20"/>
                  <w:u w:val="single"/>
                </w:rPr>
                <w:t>Condensed Consolidated Statements of Stockholders' Equity</w:t>
              </w:r>
            </w:hyperlink>
            <w:hyperlink w:anchor="stockhlders_equity_qtd">
              <w:r>
                <w:rPr>
                  <w:rStyle w:val="InternetLink"/>
                  <w:rFonts w:ascii="Times New Roman" w:hAnsi="Times New Roman"/>
                  <w:color w:val="000000"/>
                  <w:sz w:val="20"/>
                </w:rPr>
                <w:t xml:space="preserve"> </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00"/>
                  <w:sz w:val="20"/>
                  <w:u w:val="single"/>
                </w:rPr>
                <w:t>Condensed Consolidated Statements of Cash Flows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Arial" w:hAnsi="Arial"/>
                  <w:color w:val="000000"/>
                  <w:sz w:val="20"/>
                  <w:u w:val="single"/>
                </w:rPr>
                <w:t>Notes to Condensed Consolidated Financial Statements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Arial" w:hAnsi="Arial"/>
                  <w:color w:val="000000"/>
                  <w:sz w:val="20"/>
                  <w:u w:val="single"/>
                </w:rPr>
                <w:t>Management’s Discussion and Analysis of Financial Condition and Results of Operations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Arial" w:hAnsi="Arial"/>
                  <w:color w:val="000000"/>
                  <w:sz w:val="20"/>
                  <w:u w:val="single"/>
                </w:rPr>
                <w:t>Quantitative and Qualitative Disclosures About Market Risk</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00"/>
                  <w:sz w:val="20"/>
                  <w:u w:val="single"/>
                </w:rPr>
                <w:t>Controls and Procedures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INFORMATION</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00"/>
                  <w:sz w:val="20"/>
                  <w:u w:val="single"/>
                </w:rPr>
                <w:t>Legal Proceedings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00"/>
                  <w:sz w:val="20"/>
                  <w:u w:val="single"/>
                </w:rPr>
                <w:t>Risk Factors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Arial" w:hAnsi="Arial"/>
                  <w:color w:val="000000"/>
                  <w:sz w:val="20"/>
                  <w:u w:val="single"/>
                </w:rPr>
                <w:t>Unregistered Sales of Equity Securities and Use of Proceeds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00"/>
                  <w:sz w:val="20"/>
                  <w:u w:val="single"/>
                </w:rPr>
                <w:t>Defaults Upon Senior Securities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00"/>
                  <w:sz w:val="20"/>
                  <w:u w:val="single"/>
                </w:rPr>
                <w:t>Mine Safety Disclosures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00"/>
                  <w:sz w:val="20"/>
                  <w:u w:val="single"/>
                </w:rPr>
                <w:t>Other Information</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00"/>
                  <w:sz w:val="20"/>
                  <w:u w:val="single"/>
                </w:rPr>
                <w:t>Exhibits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8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00"/>
                  <w:sz w:val="20"/>
                  <w:u w:val="single"/>
                </w:rPr>
                <w:t>Signatures</w:t>
              </w:r>
            </w:hyperlink>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Arial" w:hAnsi="Arial"/>
          <w:b/>
          <w:i/>
          <w:color w:val="000000"/>
          <w:sz w:val="20"/>
        </w:rPr>
      </w:pPr>
      <w:bookmarkStart w:id="2" w:name="forward_looking_statements"/>
      <w:bookmarkEnd w:id="2"/>
      <w:r>
        <w:rPr>
          <w:rFonts w:ascii="Arial" w:hAnsi="Arial"/>
          <w:b/>
          <w:i/>
          <w:color w:val="000000"/>
          <w:sz w:val="20"/>
        </w:rPr>
        <w:t>Special Note Regarding Forward-Looking Statements</w:t>
      </w:r>
    </w:p>
    <w:p>
      <w:pPr>
        <w:pStyle w:val="TextBody"/>
        <w:bidi w:val="0"/>
        <w:spacing w:before="120" w:after="283"/>
        <w:jc w:val="both"/>
        <w:rPr>
          <w:rFonts w:ascii="Arial" w:hAnsi="Arial"/>
          <w:color w:val="000000"/>
          <w:sz w:val="20"/>
        </w:rPr>
      </w:pPr>
      <w:r>
        <w:rPr>
          <w:rFonts w:ascii="Arial" w:hAnsi="Arial"/>
          <w:color w:val="000000"/>
          <w:sz w:val="20"/>
        </w:rPr>
        <w:t>This report on Form 10-Q for the quarterly period ended June 30, 2026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effectively manage our growth and expand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further attract, retain and expand our base of billers, financial institutions, partners and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timely implement and recognize revenue from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expectations regarding our revenue, expenses and other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impact of any material cybersecurity incident on our reputation as a trusted brand or on our business,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market opportunity and anticipated trends in our business and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remain competitive as we continue to scale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develop new product features and enhance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hire and retain experienced and talented employees as we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economic conditions, including inflation, and energy market volatility, and their impact on us, consumer demand, average bill amounts and interchange fees;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maintain and enhance our brand;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plan to expand into new channels and industry verticals across different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widespread health issues on our operating results, liquidity and financial condition and on our employees, billers, financial institutions, partners, consumers and other key stakeholders;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effectively integrate and leverage artificial intelligence and machine learning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international expansion plans and ability to expand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those factors described in the sections titled “Risk Factors” and “Management’s Discussion and Analysis of Financial Condition and Results of Operations” in our Annual Report on Form 10-K for the year ended December 31, 2025, and the section titled “Management’s Discussion and Analysis of Financial Condition and Results of Operations” in this Quarterly Report.</w:t>
      </w:r>
    </w:p>
    <w:p>
      <w:pPr>
        <w:pStyle w:val="TextBody"/>
        <w:bidi w:val="0"/>
        <w:spacing w:before="120" w:after="283"/>
        <w:jc w:val="both"/>
        <w:rPr>
          <w:rFonts w:ascii="Arial" w:hAnsi="Arial"/>
          <w:color w:val="000000"/>
          <w:sz w:val="20"/>
        </w:rPr>
      </w:pPr>
      <w:r>
        <w:rPr>
          <w:rFonts w:ascii="Arial" w:hAnsi="Arial"/>
          <w:color w:val="000000"/>
          <w:sz w:val="20"/>
        </w:rPr>
        <w:t>We caution you that the foregoing list may not contain all of the forward-looking statements made in this report.</w:t>
      </w:r>
    </w:p>
    <w:p>
      <w:pPr>
        <w:pStyle w:val="TextBody"/>
        <w:bidi w:val="0"/>
        <w:spacing w:before="120" w:after="283"/>
        <w:jc w:val="both"/>
        <w:rPr>
          <w:rFonts w:ascii="Times New Roman" w:hAnsi="Times New Roman"/>
          <w:sz w:val="20"/>
        </w:rPr>
      </w:pPr>
      <w:r>
        <w:rPr>
          <w:rFonts w:ascii="Arial" w:hAnsi="Arial"/>
          <w:color w:val="000000"/>
          <w:sz w:val="20"/>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120" w:after="283"/>
        <w:jc w:val="both"/>
        <w:rPr>
          <w:rFonts w:ascii="Times New Roman" w:hAnsi="Times New Roman"/>
          <w:sz w:val="20"/>
        </w:rPr>
      </w:pPr>
      <w:r>
        <w:rPr>
          <w:rFonts w:ascii="Arial" w:hAnsi="Arial"/>
          <w:color w:val="000000"/>
          <w:sz w:val="20"/>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Certain Definitions</w:t>
      </w:r>
    </w:p>
    <w:p>
      <w:pPr>
        <w:pStyle w:val="TextBody"/>
        <w:bidi w:val="0"/>
        <w:spacing w:before="120" w:after="283"/>
        <w:jc w:val="both"/>
        <w:rPr>
          <w:rFonts w:ascii="Arial" w:hAnsi="Arial"/>
          <w:color w:val="000000"/>
          <w:sz w:val="20"/>
        </w:rPr>
      </w:pPr>
      <w:r>
        <w:rPr>
          <w:rFonts w:ascii="Arial" w:hAnsi="Arial"/>
          <w:color w:val="000000"/>
          <w:sz w:val="20"/>
        </w:rPr>
        <w:t>In this report, unless the context requires otherwise, all references to “we,” “our,” “us,” “Paymentus,” and the “Company” refer to Paymentus Holdings, Inc., and where appropriate its consolidated subsidiaries.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6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spacing w:before="60" w:after="283"/>
        <w:jc w:val="center"/>
        <w:rPr>
          <w:rFonts w:ascii="Times New Roman" w:hAnsi="Times New Roman"/>
          <w:sz w:val="20"/>
        </w:rPr>
      </w:pPr>
      <w:bookmarkStart w:id="5" w:name="balancesheet"/>
      <w:bookmarkEnd w:id="5"/>
      <w:r>
        <w:rPr>
          <w:rFonts w:ascii="Arial" w:hAnsi="Arial"/>
          <w:b/>
          <w:color w:val="000000"/>
          <w:sz w:val="20"/>
        </w:rPr>
        <w:t>PAYMENTUS</w:t>
      </w:r>
      <w:r>
        <w:rPr>
          <w:rFonts w:ascii="Times New Roman" w:hAnsi="Times New Roman"/>
          <w:color w:val="000000"/>
          <w:sz w:val="20"/>
        </w:rPr>
        <w:t xml:space="preserve"> </w:t>
      </w:r>
      <w:r>
        <w:rPr>
          <w:rFonts w:ascii="Arial" w:hAnsi="Arial"/>
          <w:b/>
          <w:color w:val="000000"/>
          <w:sz w:val="20"/>
        </w:rPr>
        <w:t>HOLDINGS, INC.</w:t>
      </w:r>
    </w:p>
    <w:p>
      <w:pPr>
        <w:pStyle w:val="TextBody"/>
        <w:bidi w:val="0"/>
        <w:jc w:val="center"/>
        <w:rPr>
          <w:rFonts w:ascii="Times New Roman" w:hAnsi="Times New Roman"/>
          <w:sz w:val="20"/>
        </w:rPr>
      </w:pPr>
      <w:bookmarkStart w:id="6" w:name="condensed_consolidated_balance_sheets_un"/>
      <w:bookmarkEnd w:id="6"/>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59"/>
        <w:gridCol w:w="211"/>
        <w:gridCol w:w="796"/>
        <w:gridCol w:w="166"/>
        <w:gridCol w:w="234"/>
        <w:gridCol w:w="886"/>
        <w:gridCol w:w="753"/>
      </w:tblGrid>
      <w:tr>
        <w:trPr/>
        <w:tc>
          <w:tcPr>
            <w:tcW w:w="7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320,908</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Restricted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3,630</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Accounts and other receivables, net of allowance for expected credit losses of $479</w:t>
            </w:r>
            <w:r>
              <w:rPr>
                <w:rFonts w:ascii="Times New Roman" w:hAnsi="Times New Roman"/>
                <w:color w:val="000000"/>
                <w:sz w:val="20"/>
              </w:rPr>
              <w:t> </w:t>
            </w:r>
            <w:r>
              <w:rPr>
                <w:rFonts w:ascii="Arial" w:hAnsi="Arial"/>
                <w:color w:val="000000"/>
                <w:sz w:val="20"/>
              </w:rPr>
              <w:t>and $452, respectively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102,338</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13,248</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441,331</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Capitalized internal-use software development costs,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70,920</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11,987</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131,815</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6,380</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assets, less current portion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4,261</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667,885</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63,972</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27,671</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portion of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2,294</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Contract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3,496</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payable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98,849</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 less current portion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4,560</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liabilities, less current portion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3,404</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and other liabilities, less current portion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107,496</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Class A common stock, $0.0001</w:t>
            </w:r>
            <w:r>
              <w:rPr>
                <w:rFonts w:ascii="Times New Roman" w:hAnsi="Times New Roman"/>
                <w:color w:val="000000"/>
                <w:sz w:val="20"/>
              </w:rPr>
              <w:t> </w:t>
            </w:r>
            <w:r>
              <w:rPr>
                <w:rFonts w:ascii="Arial" w:hAnsi="Arial"/>
                <w:color w:val="000000"/>
                <w:sz w:val="20"/>
              </w:rPr>
              <w:t>par value per share, 883,950,000</w:t>
            </w:r>
            <w:r>
              <w:rPr>
                <w:rFonts w:ascii="Times New Roman" w:hAnsi="Times New Roman"/>
                <w:color w:val="000000"/>
                <w:sz w:val="20"/>
              </w:rPr>
              <w:t> </w:t>
            </w:r>
            <w:r>
              <w:rPr>
                <w:rFonts w:ascii="Arial" w:hAnsi="Arial"/>
                <w:color w:val="000000"/>
                <w:sz w:val="20"/>
              </w:rPr>
              <w:t>shares authorized as of June 30, 2026 and December 31, 2025; 63,111,757</w:t>
            </w:r>
            <w:r>
              <w:rPr>
                <w:rFonts w:ascii="Times New Roman" w:hAnsi="Times New Roman"/>
                <w:color w:val="000000"/>
                <w:sz w:val="20"/>
              </w:rPr>
              <w:t> </w:t>
            </w:r>
            <w:r>
              <w:rPr>
                <w:rFonts w:ascii="Arial" w:hAnsi="Arial"/>
                <w:color w:val="000000"/>
                <w:sz w:val="20"/>
              </w:rPr>
              <w:t>and 62,459,587</w:t>
            </w:r>
            <w:r>
              <w:rPr>
                <w:rFonts w:ascii="Times New Roman" w:hAnsi="Times New Roman"/>
                <w:color w:val="000000"/>
                <w:sz w:val="20"/>
              </w:rPr>
              <w:t> </w:t>
            </w:r>
            <w:r>
              <w:rPr>
                <w:rFonts w:ascii="Arial" w:hAnsi="Arial"/>
                <w:color w:val="000000"/>
                <w:sz w:val="20"/>
              </w:rPr>
              <w:t>shares issued and outstanding as of June 30,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Class B common stock, $0.0001</w:t>
            </w:r>
            <w:r>
              <w:rPr>
                <w:rFonts w:ascii="Times New Roman" w:hAnsi="Times New Roman"/>
                <w:color w:val="000000"/>
                <w:sz w:val="20"/>
              </w:rPr>
              <w:t> </w:t>
            </w:r>
            <w:r>
              <w:rPr>
                <w:rFonts w:ascii="Arial" w:hAnsi="Arial"/>
                <w:color w:val="000000"/>
                <w:sz w:val="20"/>
              </w:rPr>
              <w:t>par value per share, 111,050,000</w:t>
            </w:r>
            <w:r>
              <w:rPr>
                <w:rFonts w:ascii="Times New Roman" w:hAnsi="Times New Roman"/>
                <w:color w:val="000000"/>
                <w:sz w:val="20"/>
              </w:rPr>
              <w:t> </w:t>
            </w:r>
            <w:r>
              <w:rPr>
                <w:rFonts w:ascii="Arial" w:hAnsi="Arial"/>
                <w:color w:val="000000"/>
                <w:sz w:val="20"/>
              </w:rPr>
              <w:t>shares authorized as of June 30, 2026 and December 31, 2025; 62,825,427</w:t>
            </w:r>
            <w:r>
              <w:rPr>
                <w:rFonts w:ascii="Times New Roman" w:hAnsi="Times New Roman"/>
                <w:color w:val="000000"/>
                <w:sz w:val="20"/>
              </w:rPr>
              <w:t> </w:t>
            </w:r>
            <w:r>
              <w:rPr>
                <w:rFonts w:ascii="Arial" w:hAnsi="Arial"/>
                <w:color w:val="000000"/>
                <w:sz w:val="20"/>
              </w:rPr>
              <w:t>and 63,121,661</w:t>
            </w:r>
            <w:r>
              <w:rPr>
                <w:rFonts w:ascii="Times New Roman" w:hAnsi="Times New Roman"/>
                <w:color w:val="000000"/>
                <w:sz w:val="20"/>
              </w:rPr>
              <w:t> </w:t>
            </w:r>
            <w:r>
              <w:rPr>
                <w:rFonts w:ascii="Arial" w:hAnsi="Arial"/>
                <w:color w:val="000000"/>
                <w:sz w:val="20"/>
              </w:rPr>
              <w:t>shares issued and outstanding as of June 30, 2026 and December 31, 2025, respectively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397,954</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75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Retained earnings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162,850</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7159"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560,389</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715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667,885</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Times New Roman" w:hAnsi="Times New Roman"/>
          <w:sz w:val="20"/>
        </w:rPr>
      </w:pPr>
      <w:bookmarkStart w:id="7" w:name="statements_of_operations"/>
      <w:bookmarkEnd w:id="7"/>
      <w:r>
        <w:rPr>
          <w:rFonts w:ascii="Arial" w:hAnsi="Arial"/>
          <w:b/>
          <w:color w:val="000000"/>
          <w:sz w:val="20"/>
        </w:rPr>
        <w:t>CONDENSED CONSOLIDATED STATEME</w:t>
      </w:r>
      <w:bookmarkStart w:id="8" w:name="condensed_consolidated_statements_operat"/>
      <w:bookmarkEnd w:id="8"/>
      <w:r>
        <w:rPr>
          <w:rFonts w:ascii="Arial" w:hAnsi="Arial"/>
          <w:b/>
          <w:color w:val="000000"/>
          <w:sz w:val="20"/>
        </w:rPr>
        <w:t>NTS OF OPERATIONS AND COMPREHENSIVE INCOME</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48"/>
        <w:gridCol w:w="211"/>
        <w:gridCol w:w="1171"/>
        <w:gridCol w:w="166"/>
        <w:gridCol w:w="211"/>
        <w:gridCol w:w="1171"/>
        <w:gridCol w:w="146"/>
        <w:gridCol w:w="211"/>
        <w:gridCol w:w="1171"/>
        <w:gridCol w:w="166"/>
        <w:gridCol w:w="211"/>
        <w:gridCol w:w="1171"/>
        <w:gridCol w:w="751"/>
      </w:tblGrid>
      <w:tr>
        <w:trPr/>
        <w:tc>
          <w:tcPr>
            <w:tcW w:w="3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555,312</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417,811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137,501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30,332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55,661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105,890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Income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31,611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(expense)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Income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36,170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28,520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 per share</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Weighted-average number of shares used to compute net income per share</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125,861,225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125,077,964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125,763,761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125,066,334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129,005,011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129,030,539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129,049,030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128,967,807</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28,520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Foreign currency translation adjustments, net of tax</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4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Comprehensive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28,529</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9" w:name="stockhlders_equity_qtd"/>
      <w:bookmarkEnd w:id="9"/>
      <w:r>
        <w:rPr>
          <w:rFonts w:ascii="Arial" w:hAnsi="Arial"/>
          <w:b/>
          <w:color w:val="000000"/>
          <w:sz w:val="20"/>
        </w:rPr>
        <w:t>PAYMENTUS HOLDINGS, INC.</w:t>
      </w:r>
    </w:p>
    <w:p>
      <w:pPr>
        <w:pStyle w:val="TextBody"/>
        <w:bidi w:val="0"/>
        <w:jc w:val="center"/>
        <w:rPr>
          <w:rFonts w:ascii="Arial" w:hAnsi="Arial"/>
          <w:b/>
          <w:color w:val="000000"/>
          <w:sz w:val="20"/>
        </w:rPr>
      </w:pPr>
      <w:bookmarkStart w:id="10" w:name="condensed_consolidated_statements_stockh"/>
      <w:bookmarkEnd w:id="10"/>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67"/>
        <w:gridCol w:w="146"/>
        <w:gridCol w:w="1171"/>
        <w:gridCol w:w="166"/>
        <w:gridCol w:w="318"/>
        <w:gridCol w:w="523"/>
        <w:gridCol w:w="146"/>
        <w:gridCol w:w="223"/>
        <w:gridCol w:w="843"/>
        <w:gridCol w:w="166"/>
        <w:gridCol w:w="211"/>
        <w:gridCol w:w="796"/>
        <w:gridCol w:w="146"/>
        <w:gridCol w:w="475"/>
        <w:gridCol w:w="1086"/>
        <w:gridCol w:w="166"/>
        <w:gridCol w:w="280"/>
        <w:gridCol w:w="1063"/>
        <w:gridCol w:w="213"/>
      </w:tblGrid>
      <w:tr>
        <w:trPr/>
        <w:tc>
          <w:tcPr>
            <w:tcW w:w="2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125,581,248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560,389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withheld for the withholding tax 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125,789,337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583,493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withheld for the withholding tax 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25,559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125,937,184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613,421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7"/>
        <w:gridCol w:w="146"/>
        <w:gridCol w:w="1171"/>
        <w:gridCol w:w="166"/>
        <w:gridCol w:w="318"/>
        <w:gridCol w:w="523"/>
        <w:gridCol w:w="146"/>
        <w:gridCol w:w="223"/>
        <w:gridCol w:w="843"/>
        <w:gridCol w:w="166"/>
        <w:gridCol w:w="211"/>
        <w:gridCol w:w="796"/>
        <w:gridCol w:w="146"/>
        <w:gridCol w:w="475"/>
        <w:gridCol w:w="1086"/>
        <w:gridCol w:w="166"/>
        <w:gridCol w:w="280"/>
        <w:gridCol w:w="1063"/>
        <w:gridCol w:w="213"/>
      </w:tblGrid>
      <w:tr>
        <w:trPr/>
        <w:tc>
          <w:tcPr>
            <w:tcW w:w="2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124,836,283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485,596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withheld for the withholding tax 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13,813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125,124,422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390,944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500,395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Class A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withheld for the withholding tax 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Balances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125,263,271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516,699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Arial" w:hAnsi="Arial"/>
          <w:b/>
          <w:color w:val="000000"/>
          <w:sz w:val="20"/>
        </w:rPr>
      </w:pPr>
      <w:bookmarkStart w:id="11" w:name="condensed_consolidated_statements_cash_f"/>
      <w:bookmarkEnd w:id="11"/>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rFonts w:ascii="Arial" w:hAnsi="Arial"/>
          <w:b/>
          <w:color w:val="000000"/>
          <w:sz w:val="20"/>
        </w:rPr>
      </w:pPr>
      <w:r>
        <w:rPr>
          <w:rFonts w:ascii="Arial" w:hAnsi="Arial"/>
          <w:b/>
          <w:color w:val="000000"/>
          <w:sz w:val="20"/>
        </w:rPr>
        <w:t>(Unaudited)</w:t>
      </w:r>
    </w:p>
    <w:tbl>
      <w:tblPr>
        <w:tblW w:w="10026" w:type="dxa"/>
        <w:jc w:val="left"/>
        <w:tblInd w:w="0" w:type="dxa"/>
        <w:tblLayout w:type="fixed"/>
        <w:tblCellMar>
          <w:top w:w="28" w:type="dxa"/>
          <w:left w:w="28" w:type="dxa"/>
          <w:bottom w:w="28" w:type="dxa"/>
          <w:right w:w="28" w:type="dxa"/>
        </w:tblCellMar>
      </w:tblPr>
      <w:tblGrid>
        <w:gridCol w:w="6916"/>
        <w:gridCol w:w="235"/>
        <w:gridCol w:w="872"/>
        <w:gridCol w:w="185"/>
        <w:gridCol w:w="235"/>
        <w:gridCol w:w="872"/>
        <w:gridCol w:w="711"/>
      </w:tblGrid>
      <w:tr>
        <w:trPr/>
        <w:tc>
          <w:tcPr>
            <w:tcW w:w="69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28,520</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income to net cash provided by operating activities</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and amortization</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21,223</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income taxes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Stock-based compensation</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12,160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Amortization of capitalized warrants cost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Non-cash operating lease expense</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Amortization of capitalized contract acquisition cost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873</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Provision for expected credit losses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operating assets and liabilities</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and other receivables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23,429</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Prepaid expenses and other assets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payable</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Accrued and other liabilities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Operating lease liabilities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Contract liabilities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Income taxes receivable, net of payable</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Net cash provided by operating activities</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79,312</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81,920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property and equipment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interest-bearing deposits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matured interest-bearing deposits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Capitalized internal-use software development costs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(19,176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(18,166</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Net cash used in investing activities</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(18,519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(17,708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exercise of stock-based awards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Payments of taxes withheld on net settled vesting of restricted stock units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(5,403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Net cash used in financing activities</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(5,388</w:t>
            </w:r>
          </w:p>
        </w:tc>
        <w:tc>
          <w:tcPr>
            <w:tcW w:w="18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(3,673</w:t>
            </w:r>
          </w:p>
        </w:tc>
        <w:tc>
          <w:tcPr>
            <w:tcW w:w="7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 changes on Cash and cash equivalents and Restricted cash</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in Cash and cash equivalents and Restricted cash</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55,165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60,634</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Restricted cash at the beginning of period</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324,538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209,411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and cash equivalents and Restricted cash at the end of period</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379,703</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270,045</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Reconciliation of Cash and cash equivalents and Restricted Cash:</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 at the beginning of period</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320,908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205,900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Restricted cash at the beginning of period</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Restricted cash at the beginning of period</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324,538</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209,411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 at the end of period</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377,694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266,422</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Restricted cash at the end of period</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Restricted cash at the end of period</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379,703</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270,045</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 of cash flow information:</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paid for income taxes, net of refunds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20,297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10,256</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Non-cash investing activities:</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Property and equipment acquired through finance lease liabilities</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Right-of-use assets obtained in exchange of operating lease obligations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PAYMENTUS HOLDINGS, INC.</w:t>
      </w:r>
    </w:p>
    <w:p>
      <w:pPr>
        <w:pStyle w:val="TextBody"/>
        <w:bidi w:val="0"/>
        <w:jc w:val="center"/>
        <w:rPr>
          <w:rFonts w:ascii="Times New Roman" w:hAnsi="Times New Roman"/>
          <w:sz w:val="20"/>
        </w:rPr>
      </w:pPr>
      <w:bookmarkStart w:id="12" w:name="notes_to_condensed_consolidated_financia"/>
      <w:bookmarkEnd w:id="12"/>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unless otherwise stated)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spacing w:before="120" w:after="283"/>
        <w:jc w:val="both"/>
        <w:rPr>
          <w:rFonts w:ascii="Arial" w:hAnsi="Arial"/>
          <w:b/>
          <w:color w:val="000000"/>
          <w:sz w:val="20"/>
        </w:rPr>
      </w:pPr>
      <w:r>
        <w:rPr>
          <w:rFonts w:ascii="Arial" w:hAnsi="Arial"/>
          <w:b/>
          <w:color w:val="000000"/>
          <w:sz w:val="20"/>
        </w:rPr>
        <w:t>1. Organization and Description of Business</w:t>
      </w:r>
    </w:p>
    <w:p>
      <w:pPr>
        <w:pStyle w:val="TextBody"/>
        <w:bidi w:val="0"/>
        <w:spacing w:before="240" w:after="283"/>
        <w:jc w:val="both"/>
        <w:rPr>
          <w:rFonts w:ascii="Arial" w:hAnsi="Arial"/>
          <w:b/>
          <w:i/>
          <w:color w:val="000000"/>
          <w:sz w:val="20"/>
        </w:rPr>
      </w:pPr>
      <w:r>
        <w:rPr>
          <w:rFonts w:ascii="Arial" w:hAnsi="Arial"/>
          <w:b/>
          <w:i/>
          <w:color w:val="000000"/>
          <w:sz w:val="20"/>
        </w:rPr>
        <w:t>Description of Business</w:t>
      </w:r>
    </w:p>
    <w:p>
      <w:pPr>
        <w:pStyle w:val="TextBody"/>
        <w:bidi w:val="0"/>
        <w:spacing w:before="120" w:after="283"/>
        <w:jc w:val="both"/>
        <w:rPr>
          <w:rFonts w:ascii="Arial" w:hAnsi="Arial"/>
          <w:color w:val="000000"/>
          <w:sz w:val="20"/>
        </w:rPr>
      </w:pPr>
      <w:r>
        <w:rPr>
          <w:rFonts w:ascii="Arial" w:hAnsi="Arial"/>
          <w:color w:val="000000"/>
          <w:sz w:val="20"/>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Addison, Texas, Santa Clara, California, Richmond Hill, Ontario (Canada), and Gurugram, Mohali and Bengaluru (India). The Company is headquartered in Addison, Texas.</w:t>
      </w:r>
    </w:p>
    <w:p>
      <w:pPr>
        <w:pStyle w:val="TextBody"/>
        <w:bidi w:val="0"/>
        <w:spacing w:before="120" w:after="283"/>
        <w:jc w:val="left"/>
        <w:rPr>
          <w:rFonts w:ascii="Arial" w:hAnsi="Arial"/>
          <w:b/>
          <w:color w:val="000000"/>
          <w:sz w:val="20"/>
        </w:rPr>
      </w:pPr>
      <w:r>
        <w:rPr>
          <w:rFonts w:ascii="Arial" w:hAnsi="Arial"/>
          <w:b/>
          <w:color w:val="000000"/>
          <w:sz w:val="20"/>
        </w:rPr>
        <w:t>2. Basis of Presentation and Summary of Significant Accounting Policies</w:t>
      </w:r>
    </w:p>
    <w:p>
      <w:pPr>
        <w:pStyle w:val="TextBody"/>
        <w:bidi w:val="0"/>
        <w:spacing w:before="120" w:after="283"/>
        <w:jc w:val="left"/>
        <w:rPr>
          <w:rFonts w:ascii="Arial" w:hAnsi="Arial"/>
          <w:b/>
          <w:i/>
          <w:color w:val="000000"/>
          <w:sz w:val="20"/>
        </w:rPr>
      </w:pPr>
      <w:r>
        <w:rPr>
          <w:rFonts w:ascii="Arial" w:hAnsi="Arial"/>
          <w:b/>
          <w:i/>
          <w:color w:val="000000"/>
          <w:sz w:val="20"/>
        </w:rPr>
        <w:t>Basis of Presentation and Principles of Consolidation</w:t>
      </w:r>
    </w:p>
    <w:p>
      <w:pPr>
        <w:pStyle w:val="TextBody"/>
        <w:bidi w:val="0"/>
        <w:spacing w:before="120" w:after="283"/>
        <w:jc w:val="both"/>
        <w:rPr>
          <w:rFonts w:ascii="Arial" w:hAnsi="Arial"/>
          <w:color w:val="000000"/>
          <w:sz w:val="20"/>
        </w:rPr>
      </w:pPr>
      <w:r>
        <w:rPr>
          <w:rFonts w:ascii="Arial" w:hAnsi="Arial"/>
          <w:color w:val="000000"/>
          <w:sz w:val="20"/>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2025 filed with the SEC on February 24, 2026 (the “2025 Form 10-K”).</w:t>
      </w:r>
    </w:p>
    <w:p>
      <w:pPr>
        <w:pStyle w:val="TextBody"/>
        <w:bidi w:val="0"/>
        <w:spacing w:before="120" w:after="283"/>
        <w:jc w:val="both"/>
        <w:rPr>
          <w:rFonts w:ascii="Times New Roman" w:hAnsi="Times New Roman"/>
          <w:sz w:val="20"/>
        </w:rPr>
      </w:pPr>
      <w:r>
        <w:rPr>
          <w:rFonts w:ascii="Arial" w:hAnsi="Arial"/>
          <w:color w:val="000000"/>
          <w:sz w:val="20"/>
        </w:rPr>
        <w:t>These unaudited interim condensed consolidated financial statements have been prepared on the same basis as the annual financial statements and, in the opinion of management,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and six months ended June 30, 2026 and 2025 are not necessarily indicative of the results to be expected for the full year or any other future interim or annual period.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unaudited interim condensed consolidated financial statements include the accounts of the Company and its wholly owned subsidiaries. All intercompany accounts and balances have been eliminated upon consolidation.</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Use of Estimates</w:t>
      </w:r>
    </w:p>
    <w:p>
      <w:pPr>
        <w:pStyle w:val="TextBody"/>
        <w:bidi w:val="0"/>
        <w:spacing w:before="120" w:after="283"/>
        <w:jc w:val="both"/>
        <w:rPr>
          <w:rFonts w:ascii="Arial" w:hAnsi="Arial"/>
          <w:color w:val="000000"/>
          <w:sz w:val="20"/>
        </w:rPr>
      </w:pPr>
      <w:r>
        <w:rPr>
          <w:rFonts w:ascii="Arial" w:hAnsi="Arial"/>
          <w:color w:val="000000"/>
          <w:sz w:val="20"/>
        </w:rPr>
        <w:t>The preparation of condensed consolidated financial statements in conformity with GAAP requires management to make estimates and assumptions that affect the amounts reported in the condensed consolidated financial statements and accompanying notes. Such estimates include revenue recognition, cost of revenue recognition, the allowance for credit losses, the useful lives of tangible and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pStyle w:val="TextBody"/>
        <w:bidi w:val="0"/>
        <w:spacing w:before="120" w:after="283"/>
        <w:jc w:val="both"/>
        <w:rPr>
          <w:rFonts w:ascii="Arial" w:hAnsi="Arial"/>
          <w:b/>
          <w:i/>
          <w:color w:val="000000"/>
          <w:sz w:val="20"/>
        </w:rPr>
      </w:pPr>
      <w:r>
        <w:rPr>
          <w:rFonts w:ascii="Arial" w:hAnsi="Arial"/>
          <w:b/>
          <w:i/>
          <w:color w:val="000000"/>
          <w:sz w:val="20"/>
        </w:rPr>
        <w:t>Custodial Accounts</w:t>
      </w:r>
    </w:p>
    <w:p>
      <w:pPr>
        <w:pStyle w:val="TextBody"/>
        <w:bidi w:val="0"/>
        <w:spacing w:before="120" w:after="283"/>
        <w:jc w:val="both"/>
        <w:rPr>
          <w:rFonts w:ascii="Times New Roman" w:hAnsi="Times New Roman"/>
          <w:sz w:val="20"/>
        </w:rPr>
      </w:pPr>
      <w:r>
        <w:rPr>
          <w:rFonts w:ascii="Arial" w:hAnsi="Arial"/>
          <w:color w:val="000000"/>
          <w:sz w:val="20"/>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$207.1</w:t>
      </w:r>
      <w:r>
        <w:rPr>
          <w:rFonts w:ascii="Times New Roman" w:hAnsi="Times New Roman"/>
          <w:color w:val="000000"/>
          <w:sz w:val="20"/>
        </w:rPr>
        <w:t xml:space="preserve"> </w:t>
      </w:r>
      <w:r>
        <w:rPr>
          <w:rFonts w:ascii="Arial" w:hAnsi="Arial"/>
          <w:color w:val="000000"/>
          <w:sz w:val="20"/>
        </w:rPr>
        <w:t>million and $215.7</w:t>
      </w:r>
      <w:r>
        <w:rPr>
          <w:rFonts w:ascii="Times New Roman" w:hAnsi="Times New Roman"/>
          <w:color w:val="000000"/>
          <w:sz w:val="20"/>
        </w:rPr>
        <w:t xml:space="preserve"> </w:t>
      </w:r>
      <w:r>
        <w:rPr>
          <w:rFonts w:ascii="Arial" w:hAnsi="Arial"/>
          <w:color w:val="000000"/>
          <w:sz w:val="20"/>
        </w:rPr>
        <w:t>million as of June 30, 2026 and December 31, 2025, respectively.</w:t>
      </w:r>
    </w:p>
    <w:p>
      <w:pPr>
        <w:pStyle w:val="TextBody"/>
        <w:bidi w:val="0"/>
        <w:spacing w:before="120" w:after="283"/>
        <w:jc w:val="both"/>
        <w:rPr>
          <w:rFonts w:ascii="Arial" w:hAnsi="Arial"/>
          <w:b/>
          <w:i/>
          <w:color w:val="000000"/>
          <w:sz w:val="20"/>
        </w:rPr>
      </w:pPr>
      <w:r>
        <w:rPr>
          <w:rFonts w:ascii="Arial" w:hAnsi="Arial"/>
          <w:b/>
          <w:i/>
          <w:color w:val="000000"/>
          <w:sz w:val="20"/>
        </w:rPr>
        <w:t>Concentration of Credit Risk</w:t>
      </w:r>
    </w:p>
    <w:p>
      <w:pPr>
        <w:pStyle w:val="TextBody"/>
        <w:bidi w:val="0"/>
        <w:spacing w:before="120" w:after="283"/>
        <w:jc w:val="both"/>
        <w:rPr>
          <w:rFonts w:ascii="Times New Roman" w:hAnsi="Times New Roman"/>
          <w:sz w:val="20"/>
        </w:rPr>
      </w:pPr>
      <w:r>
        <w:rPr>
          <w:rFonts w:ascii="Arial" w:hAnsi="Arial"/>
          <w:color w:val="000000"/>
          <w:sz w:val="20"/>
        </w:rPr>
        <w:t>Financial instruments that potentially subject the Company to credit risk primarily consist of cash, cash equivalents, accounts receivable and short-term deposits. The Company maintains its cash and cash equivalents and short-term deposits with high-quality financial institutions with investment-grade ratings. For accounts receivable, the Company is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exposed to credit risk in the event of nonpayment by customers to the extent of the amounts recorded in the condensed consolidated balance sheets. As of June 30, 2026 and December 31, 2025, one</w:t>
      </w:r>
      <w:r>
        <w:rPr>
          <w:rFonts w:ascii="Times New Roman" w:hAnsi="Times New Roman"/>
          <w:color w:val="000000"/>
          <w:sz w:val="20"/>
        </w:rPr>
        <w:t xml:space="preserve"> </w:t>
      </w:r>
      <w:r>
        <w:rPr>
          <w:rFonts w:ascii="Arial" w:hAnsi="Arial"/>
          <w:color w:val="000000"/>
          <w:sz w:val="20"/>
        </w:rPr>
        <w:t>reseller accounted for more than 10% of accounts receivable.</w:t>
      </w:r>
    </w:p>
    <w:p>
      <w:pPr>
        <w:pStyle w:val="TextBody"/>
        <w:bidi w:val="0"/>
        <w:spacing w:before="120" w:after="283"/>
        <w:jc w:val="both"/>
        <w:rPr>
          <w:rFonts w:ascii="Arial" w:hAnsi="Arial"/>
          <w:b/>
          <w:i/>
          <w:color w:val="000000"/>
          <w:sz w:val="20"/>
        </w:rPr>
      </w:pPr>
      <w:r>
        <w:rPr>
          <w:rFonts w:ascii="Arial" w:hAnsi="Arial"/>
          <w:b/>
          <w:i/>
          <w:color w:val="000000"/>
          <w:sz w:val="20"/>
        </w:rPr>
        <w:t>Segment Information</w:t>
      </w:r>
    </w:p>
    <w:p>
      <w:pPr>
        <w:pStyle w:val="TextBody"/>
        <w:bidi w:val="0"/>
        <w:spacing w:before="120" w:after="283"/>
        <w:jc w:val="both"/>
        <w:rPr>
          <w:rFonts w:ascii="Times New Roman" w:hAnsi="Times New Roman"/>
          <w:sz w:val="20"/>
        </w:rPr>
      </w:pPr>
      <w:r>
        <w:rPr>
          <w:rFonts w:ascii="Arial" w:hAnsi="Arial"/>
          <w:color w:val="000000"/>
          <w:sz w:val="20"/>
        </w:rPr>
        <w:t>The Company operates as a single operating and reportable segment. The Company’s chief operating decision maker ("CODM") is its chief executive officer, and the CODM evaluates financial performance and makes resource allocation decisions based on consolidated financial information. The measure of segment profit or loss that the CODM uses to allocate resources and assess performance is the Company’s consolidated net income, as reported on the condensed consolidated statements of operations and comprehensive income. The CODM uses consolidated net income to assess overall Company performance, monitor progress toward financial targets, and make strategic decisions regarding the allocation of resources across functions and initiatives.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accounting policies applied to the segments are the same as those described in the summary of significant accounting policies. All expense categories on the condensed consolidated statements of operations and comprehensive income are significant, and there are no other significant expenses that are reviewed or provided to the CODM that would require disclosure.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Assets provided to the CODM are consistent with those reported on the condensed consolidated balance sheets.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Information related to the Company’s products and services is disclosed in Note 1. Information about geographical distribution of the Company’s revenue and long-lived assets is disclosed in Notes 3 and 4, respectively.</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Summary of Significant Accounting Policies</w:t>
      </w:r>
    </w:p>
    <w:p>
      <w:pPr>
        <w:pStyle w:val="TextBody"/>
        <w:bidi w:val="0"/>
        <w:spacing w:before="120" w:after="283"/>
        <w:jc w:val="both"/>
        <w:rPr>
          <w:rFonts w:ascii="Arial" w:hAnsi="Arial"/>
          <w:color w:val="000000"/>
          <w:sz w:val="20"/>
        </w:rPr>
      </w:pPr>
      <w:r>
        <w:rPr>
          <w:rFonts w:ascii="Arial" w:hAnsi="Arial"/>
          <w:color w:val="000000"/>
          <w:sz w:val="20"/>
        </w:rPr>
        <w:t>The Company’s significant accounting policies are discussed in Note 2, “Basis of Presentation and Summary of Significant Accounting Policies,” in the Notes to Consolidated Financial Statements as of December 31, 2025 and 2024 and for the years ended December 31, 2025, 2024 and 2023 included in the 2025 Form 10-K. There have been no significant changes to these policies during the three and six months ended June 30, 2026.</w:t>
      </w:r>
    </w:p>
    <w:p>
      <w:pPr>
        <w:pStyle w:val="TextBody"/>
        <w:bidi w:val="0"/>
        <w:spacing w:before="120" w:after="283"/>
        <w:jc w:val="left"/>
        <w:rPr>
          <w:rFonts w:ascii="Arial" w:hAnsi="Arial"/>
          <w:b/>
          <w:i/>
          <w:color w:val="000000"/>
          <w:sz w:val="20"/>
        </w:rPr>
      </w:pPr>
      <w:r>
        <w:rPr>
          <w:rFonts w:ascii="Arial" w:hAnsi="Arial"/>
          <w:b/>
          <w:i/>
          <w:color w:val="000000"/>
          <w:sz w:val="20"/>
        </w:rPr>
        <w:t>Recently Adopted Accounting Standards</w:t>
      </w:r>
    </w:p>
    <w:p>
      <w:pPr>
        <w:pStyle w:val="TextBody"/>
        <w:bidi w:val="0"/>
        <w:spacing w:before="120" w:after="283"/>
        <w:jc w:val="both"/>
        <w:rPr>
          <w:rFonts w:ascii="Arial" w:hAnsi="Arial"/>
          <w:color w:val="000000"/>
          <w:sz w:val="20"/>
        </w:rPr>
      </w:pPr>
      <w:r>
        <w:rPr>
          <w:rFonts w:ascii="Arial" w:hAnsi="Arial"/>
          <w:color w:val="000000"/>
          <w:sz w:val="20"/>
        </w:rPr>
        <w:t>Accounting Standards Updates ("ASUs") not listed below were assessed and determined to be either not applicable or not expected to have a material impact on the condensed consolidated financial statements.</w:t>
      </w:r>
    </w:p>
    <w:p>
      <w:pPr>
        <w:pStyle w:val="TextBody"/>
        <w:bidi w:val="0"/>
        <w:spacing w:before="120" w:after="283"/>
        <w:jc w:val="both"/>
        <w:rPr>
          <w:rFonts w:ascii="Arial" w:hAnsi="Arial"/>
          <w:color w:val="000000"/>
          <w:sz w:val="20"/>
        </w:rPr>
      </w:pPr>
      <w:r>
        <w:rPr>
          <w:rFonts w:ascii="Arial" w:hAnsi="Arial"/>
          <w:color w:val="000000"/>
          <w:sz w:val="20"/>
        </w:rPr>
        <w:t>In July 2025, the FASB issued ASU 2025-05, Measurement of Credit Losses for Accounts Receivable and Contract</w:t>
        <w:br/>
        <w:t>Assets. ASU 2025-05 provides guidance on the measurement of credit losses for certain accounts receivable and contract</w:t>
        <w:br/>
        <w:t>assets arising from revenue transactions. The guidance is effective for annual reporting periods beginning after December 15, 2025, and interim periods within those annual reporting periods. The Company adopted ASU 2025-05 effective January 1, 2026 on a prospective basis. The adoption of this new guidance did not have a material impact on the Company's condensed consolidated financial statements and related disclosures.</w:t>
      </w:r>
    </w:p>
    <w:p>
      <w:pPr>
        <w:pStyle w:val="TextBody"/>
        <w:bidi w:val="0"/>
        <w:spacing w:before="120" w:after="283"/>
        <w:jc w:val="left"/>
        <w:rPr>
          <w:rFonts w:ascii="Arial" w:hAnsi="Arial"/>
          <w:b/>
          <w:i/>
          <w:color w:val="000000"/>
          <w:sz w:val="20"/>
        </w:rPr>
      </w:pPr>
      <w:r>
        <w:rPr>
          <w:rFonts w:ascii="Arial" w:hAnsi="Arial"/>
          <w:b/>
          <w:i/>
          <w:color w:val="000000"/>
          <w:sz w:val="20"/>
        </w:rPr>
        <w:t>Accounting Pronouncements Not Yet Adopted</w:t>
      </w:r>
    </w:p>
    <w:p>
      <w:pPr>
        <w:pStyle w:val="TextBody"/>
        <w:bidi w:val="0"/>
        <w:spacing w:before="120" w:after="283"/>
        <w:jc w:val="both"/>
        <w:rPr>
          <w:rFonts w:ascii="Arial" w:hAnsi="Arial"/>
          <w:color w:val="000000"/>
          <w:sz w:val="20"/>
        </w:rPr>
      </w:pPr>
      <w:r>
        <w:rPr>
          <w:rFonts w:ascii="Arial" w:hAnsi="Arial"/>
          <w:color w:val="000000"/>
          <w:sz w:val="20"/>
        </w:rPr>
        <w:t>On November 4, 2024, the FASB issued new guidance requiring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ASU 2024-03, Disaggregation of Income Statement Expenses (DISE), applies to all public business entities (PBEs) and is effective for annual reporting periods beginning after December 15, 2026 and interim reporting periods within annual reporting periods beginning after December 15, 2027. The requirements will be applied prospectively with the option for retrospective application. Early adoption is permitted. The adoption of ASU 2024-03 is not expected to have a material impact on the Company's financial position or results of operations.</w:t>
      </w:r>
    </w:p>
    <w:p>
      <w:pPr>
        <w:pStyle w:val="TextBody"/>
        <w:bidi w:val="0"/>
        <w:spacing w:before="120" w:after="283"/>
        <w:jc w:val="both"/>
        <w:rPr>
          <w:rFonts w:ascii="Arial" w:hAnsi="Arial"/>
          <w:color w:val="000000"/>
          <w:sz w:val="20"/>
        </w:rPr>
      </w:pPr>
      <w:r>
        <w:rPr>
          <w:rFonts w:ascii="Arial" w:hAnsi="Arial"/>
          <w:color w:val="000000"/>
          <w:sz w:val="20"/>
        </w:rPr>
        <w:t>In September 2025, the FASB issued ASU 2025-06, Intangibles – Goodwill and Other – Internal-Use Software</w:t>
        <w:br/>
        <w:t>(Subtopic 350-40): Targeted Improvements to the Accounting for Internal-Use Software. The amended guidance</w:t>
        <w:br/>
        <w:t>modernizes the accounting for costs related to internal-use software to more closely align with current software development methods. The guidance removes references to project stages and clarifies when the Company is required to start capitalizing eligible costs. The new guidance is effective for fiscal years beginning after December 15, 2027, and interim periods within those fiscal years, with early adoption permitted. The guidance can be applied on a prospective basis, a modified basis for in-process projects, or a retrospective basis. The Company is currently evaluating the impact this amended guidance may have on its condensed consolidated financial statements and related disclosures.</w:t>
      </w:r>
    </w:p>
    <w:p>
      <w:pPr>
        <w:pStyle w:val="TextBody"/>
        <w:bidi w:val="0"/>
        <w:spacing w:before="120" w:after="283"/>
        <w:jc w:val="both"/>
        <w:rPr>
          <w:rFonts w:ascii="Times New Roman" w:hAnsi="Times New Roman"/>
          <w:sz w:val="20"/>
        </w:rPr>
      </w:pPr>
      <w:r>
        <w:rPr>
          <w:rFonts w:ascii="Arial" w:hAnsi="Arial"/>
          <w:color w:val="000000"/>
          <w:sz w:val="20"/>
        </w:rPr>
        <w:t>In December 2025, the FASB issued ASU 2025-11, Interim Reporting (Topic 270): Narrow-Scope Improvements. The amendments improve the codification guidance for interim reporting and require that entities provide specific disclosures in interim periods that were previously only required in annual financial statements. The new guidance is effective for fiscal</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years beginning after December 15, 2027, and interim periods within those fiscal years, with early adoption permitted. The Company is currently evaluating the impact of adopting this new guidance on its future interim financial disclosures.</w:t>
      </w:r>
    </w:p>
    <w:p>
      <w:pPr>
        <w:pStyle w:val="TextBody"/>
        <w:bidi w:val="0"/>
        <w:spacing w:before="120" w:after="283"/>
        <w:jc w:val="left"/>
        <w:rPr>
          <w:rFonts w:ascii="Arial" w:hAnsi="Arial"/>
          <w:b/>
          <w:color w:val="000000"/>
          <w:sz w:val="20"/>
        </w:rPr>
      </w:pPr>
      <w:r>
        <w:rPr>
          <w:rFonts w:ascii="Arial" w:hAnsi="Arial"/>
          <w:b/>
          <w:color w:val="000000"/>
          <w:sz w:val="20"/>
        </w:rPr>
        <w:t>3. Revenue, Performance Obligations and Contract Balances</w:t>
      </w:r>
    </w:p>
    <w:p>
      <w:pPr>
        <w:pStyle w:val="TextBody"/>
        <w:bidi w:val="0"/>
        <w:spacing w:before="120" w:after="283"/>
        <w:jc w:val="left"/>
        <w:rPr>
          <w:rFonts w:ascii="Arial" w:hAnsi="Arial"/>
          <w:b/>
          <w:i/>
          <w:color w:val="000000"/>
          <w:sz w:val="20"/>
        </w:rPr>
      </w:pPr>
      <w:r>
        <w:rPr>
          <w:rFonts w:ascii="Arial" w:hAnsi="Arial"/>
          <w:b/>
          <w:i/>
          <w:color w:val="000000"/>
          <w:sz w:val="20"/>
        </w:rPr>
        <w:t>Disaggregation of Revenue</w:t>
      </w:r>
    </w:p>
    <w:p>
      <w:pPr>
        <w:pStyle w:val="TextBody"/>
        <w:bidi w:val="0"/>
        <w:spacing w:before="120" w:after="120"/>
        <w:jc w:val="left"/>
        <w:rPr>
          <w:rFonts w:ascii="Arial" w:hAnsi="Arial"/>
          <w:color w:val="000000"/>
          <w:sz w:val="20"/>
        </w:rPr>
      </w:pPr>
      <w:r>
        <w:rPr>
          <w:rFonts w:ascii="Arial" w:hAnsi="Arial"/>
          <w:color w:val="000000"/>
          <w:sz w:val="20"/>
        </w:rPr>
        <w:t>The following table presents a disaggregation of revenue from contracts with customers (in thousands):</w:t>
      </w:r>
    </w:p>
    <w:tbl>
      <w:tblPr>
        <w:tblW w:w="8473" w:type="dxa"/>
        <w:jc w:val="left"/>
        <w:tblInd w:w="0" w:type="dxa"/>
        <w:tblLayout w:type="fixed"/>
        <w:tblCellMar>
          <w:top w:w="28" w:type="dxa"/>
          <w:left w:w="28" w:type="dxa"/>
          <w:bottom w:w="28" w:type="dxa"/>
          <w:right w:w="28" w:type="dxa"/>
        </w:tblCellMar>
      </w:tblPr>
      <w:tblGrid>
        <w:gridCol w:w="3676"/>
        <w:gridCol w:w="211"/>
        <w:gridCol w:w="796"/>
        <w:gridCol w:w="146"/>
        <w:gridCol w:w="211"/>
        <w:gridCol w:w="796"/>
        <w:gridCol w:w="146"/>
        <w:gridCol w:w="211"/>
        <w:gridCol w:w="796"/>
        <w:gridCol w:w="146"/>
        <w:gridCol w:w="211"/>
        <w:gridCol w:w="796"/>
        <w:gridCol w:w="331"/>
      </w:tblGrid>
      <w:tr>
        <w:trPr/>
        <w:tc>
          <w:tcPr>
            <w:tcW w:w="3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transaction processing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551,360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555,312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Arial" w:hAnsi="Arial"/>
          <w:color w:val="000000"/>
          <w:sz w:val="20"/>
        </w:rPr>
      </w:pPr>
      <w:r>
        <w:rPr>
          <w:rFonts w:ascii="Arial" w:hAnsi="Arial"/>
          <w:color w:val="000000"/>
          <w:sz w:val="20"/>
        </w:rPr>
        <w:t>Revenue by geographic area, based on the location of the Company’s users, was as follows (in thousands):</w:t>
      </w:r>
    </w:p>
    <w:tbl>
      <w:tblPr>
        <w:tblW w:w="6103" w:type="dxa"/>
        <w:jc w:val="left"/>
        <w:tblInd w:w="0" w:type="dxa"/>
        <w:tblLayout w:type="fixed"/>
        <w:tblCellMar>
          <w:top w:w="28" w:type="dxa"/>
          <w:left w:w="28" w:type="dxa"/>
          <w:bottom w:w="28" w:type="dxa"/>
          <w:right w:w="28" w:type="dxa"/>
        </w:tblCellMar>
      </w:tblPr>
      <w:tblGrid>
        <w:gridCol w:w="1306"/>
        <w:gridCol w:w="211"/>
        <w:gridCol w:w="796"/>
        <w:gridCol w:w="146"/>
        <w:gridCol w:w="211"/>
        <w:gridCol w:w="796"/>
        <w:gridCol w:w="146"/>
        <w:gridCol w:w="211"/>
        <w:gridCol w:w="796"/>
        <w:gridCol w:w="146"/>
        <w:gridCol w:w="211"/>
        <w:gridCol w:w="796"/>
        <w:gridCol w:w="331"/>
      </w:tblGrid>
      <w:tr>
        <w:trPr/>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546,096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555,312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b/>
          <w:i/>
          <w:color w:val="000000"/>
          <w:sz w:val="20"/>
        </w:rPr>
      </w:pPr>
      <w:r>
        <w:rPr>
          <w:rFonts w:ascii="Arial" w:hAnsi="Arial"/>
          <w:b/>
          <w:i/>
          <w:color w:val="000000"/>
          <w:sz w:val="20"/>
        </w:rPr>
        <w:t>Remaining Performance Obligations</w:t>
      </w:r>
    </w:p>
    <w:p>
      <w:pPr>
        <w:pStyle w:val="TextBody"/>
        <w:bidi w:val="0"/>
        <w:spacing w:before="120" w:after="283"/>
        <w:jc w:val="both"/>
        <w:rPr>
          <w:rFonts w:ascii="Times New Roman" w:hAnsi="Times New Roman"/>
          <w:sz w:val="20"/>
        </w:rPr>
      </w:pPr>
      <w:r>
        <w:rPr>
          <w:rFonts w:ascii="Arial" w:hAnsi="Arial"/>
          <w:color w:val="000000"/>
          <w:sz w:val="20"/>
        </w:rPr>
        <w:t>As of June 30, 2026, the aggregate amount of transaction price allocated to performance obligations that are unsatisfied or partially unsatisfied was $7.2</w:t>
      </w:r>
      <w:r>
        <w:rPr>
          <w:rFonts w:ascii="Times New Roman" w:hAnsi="Times New Roman"/>
          <w:color w:val="000000"/>
          <w:sz w:val="20"/>
        </w:rPr>
        <w:t xml:space="preserve"> </w:t>
      </w:r>
      <w:r>
        <w:rPr>
          <w:rFonts w:ascii="Arial" w:hAnsi="Arial"/>
          <w:color w:val="000000"/>
          <w:sz w:val="20"/>
        </w:rPr>
        <w:t>million, of which the Company expects to recognize over 71%</w:t>
      </w:r>
      <w:r>
        <w:rPr>
          <w:rFonts w:ascii="Times New Roman" w:hAnsi="Times New Roman"/>
          <w:color w:val="000000"/>
          <w:sz w:val="20"/>
        </w:rPr>
        <w:t xml:space="preserve"> </w:t>
      </w:r>
      <w:r>
        <w:rPr>
          <w:rFonts w:ascii="Arial" w:hAnsi="Arial"/>
          <w:color w:val="000000"/>
          <w:sz w:val="20"/>
        </w:rPr>
        <w:t>within the next two years, 21%</w:t>
      </w:r>
      <w:r>
        <w:rPr>
          <w:rFonts w:ascii="Times New Roman" w:hAnsi="Times New Roman"/>
          <w:color w:val="000000"/>
          <w:sz w:val="20"/>
        </w:rPr>
        <w:t xml:space="preserve"> </w:t>
      </w:r>
      <w:r>
        <w:rPr>
          <w:rFonts w:ascii="Arial" w:hAnsi="Arial"/>
          <w:color w:val="000000"/>
          <w:sz w:val="20"/>
        </w:rPr>
        <w:t>between two</w:t>
      </w:r>
      <w:r>
        <w:rPr>
          <w:rFonts w:ascii="Times New Roman" w:hAnsi="Times New Roman"/>
          <w:color w:val="000000"/>
          <w:sz w:val="20"/>
        </w:rPr>
        <w:t xml:space="preserve"> </w:t>
      </w:r>
      <w:r>
        <w:rPr>
          <w:rFonts w:ascii="Arial" w:hAnsi="Arial"/>
          <w:color w:val="000000"/>
          <w:sz w:val="20"/>
        </w:rPr>
        <w:t>to four years</w:t>
      </w:r>
      <w:r>
        <w:rPr>
          <w:rFonts w:ascii="Times New Roman" w:hAnsi="Times New Roman"/>
          <w:color w:val="000000"/>
          <w:sz w:val="20"/>
        </w:rPr>
        <w:t xml:space="preserve"> </w:t>
      </w:r>
      <w:r>
        <w:rPr>
          <w:rFonts w:ascii="Arial" w:hAnsi="Arial"/>
          <w:color w:val="000000"/>
          <w:sz w:val="20"/>
        </w:rPr>
        <w:t>and the remainder thereafter. The timing of revenue recognition within the next four years is largely dependent upon the go-live dates of the Company's customers under the Company’s contracts.</w:t>
      </w:r>
    </w:p>
    <w:p>
      <w:pPr>
        <w:pStyle w:val="TextBody"/>
        <w:bidi w:val="0"/>
        <w:spacing w:before="120" w:after="283"/>
        <w:jc w:val="both"/>
        <w:rPr>
          <w:rFonts w:ascii="Times New Roman" w:hAnsi="Times New Roman"/>
          <w:sz w:val="20"/>
        </w:rPr>
      </w:pPr>
      <w:r>
        <w:rPr>
          <w:rFonts w:ascii="Arial" w:hAnsi="Arial"/>
          <w:color w:val="000000"/>
          <w:sz w:val="20"/>
        </w:rPr>
        <w:t>As of June 30, 2026, the Company has contractual rights under its commercial agreements with customers and resellers to receive $45.0</w:t>
      </w:r>
      <w:r>
        <w:rPr>
          <w:rFonts w:ascii="Times New Roman" w:hAnsi="Times New Roman"/>
          <w:color w:val="000000"/>
          <w:sz w:val="20"/>
        </w:rPr>
        <w:t xml:space="preserve"> </w:t>
      </w:r>
      <w:r>
        <w:rPr>
          <w:rFonts w:ascii="Arial" w:hAnsi="Arial"/>
          <w:color w:val="000000"/>
          <w:sz w:val="20"/>
        </w:rPr>
        <w:t>million of fixed consideration related to the future minimum guarantees through 2030.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pStyle w:val="TextBody"/>
        <w:bidi w:val="0"/>
        <w:spacing w:before="120" w:after="283"/>
        <w:jc w:val="both"/>
        <w:rPr>
          <w:rFonts w:ascii="Arial" w:hAnsi="Arial"/>
          <w:b/>
          <w:i/>
          <w:color w:val="000000"/>
          <w:sz w:val="20"/>
        </w:rPr>
      </w:pPr>
      <w:r>
        <w:rPr>
          <w:rFonts w:ascii="Arial" w:hAnsi="Arial"/>
          <w:b/>
          <w:i/>
          <w:color w:val="000000"/>
          <w:sz w:val="20"/>
        </w:rPr>
        <w:t>Contract Liabilities</w:t>
      </w:r>
    </w:p>
    <w:p>
      <w:pPr>
        <w:pStyle w:val="TextBody"/>
        <w:bidi w:val="0"/>
        <w:spacing w:before="120" w:after="283"/>
        <w:jc w:val="both"/>
        <w:rPr>
          <w:rFonts w:ascii="Times New Roman" w:hAnsi="Times New Roman"/>
          <w:sz w:val="20"/>
        </w:rPr>
      </w:pPr>
      <w:r>
        <w:rPr>
          <w:rFonts w:ascii="Arial" w:hAnsi="Arial"/>
          <w:color w:val="000000"/>
          <w:sz w:val="20"/>
        </w:rPr>
        <w:t>Revenue recognized during the three months ended June 30, 2026 and 2025 that was included in the contract liabilities balance at the beginning of each of the periods was $1.9</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respectively. Revenue recognized during the six months ended June 30, 2026 and 2025 that was included in the contract liabilities balance at the beginning of each of the periods was $1.2</w:t>
      </w:r>
      <w:r>
        <w:rPr>
          <w:rFonts w:ascii="Times New Roman" w:hAnsi="Times New Roman"/>
          <w:color w:val="000000"/>
          <w:sz w:val="20"/>
        </w:rPr>
        <w:t xml:space="preserve"> </w:t>
      </w:r>
      <w:r>
        <w:rPr>
          <w:rFonts w:ascii="Arial" w:hAnsi="Arial"/>
          <w:color w:val="000000"/>
          <w:sz w:val="20"/>
        </w:rPr>
        <w:t>million and $0.9</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4. Property and Equipment, Net</w:t>
      </w:r>
    </w:p>
    <w:p>
      <w:pPr>
        <w:pStyle w:val="TextBody"/>
        <w:bidi w:val="0"/>
        <w:spacing w:before="120" w:after="120"/>
        <w:jc w:val="left"/>
        <w:rPr>
          <w:rFonts w:ascii="Arial" w:hAnsi="Arial"/>
          <w:color w:val="000000"/>
          <w:sz w:val="20"/>
        </w:rPr>
      </w:pPr>
      <w:r>
        <w:rPr>
          <w:rFonts w:ascii="Arial" w:hAnsi="Arial"/>
          <w:color w:val="000000"/>
          <w:sz w:val="20"/>
        </w:rPr>
        <w:t>Property and equipment, net consisted of the following (in thousands):</w:t>
      </w:r>
    </w:p>
    <w:tbl>
      <w:tblPr>
        <w:tblW w:w="6095" w:type="dxa"/>
        <w:jc w:val="left"/>
        <w:tblInd w:w="0" w:type="dxa"/>
        <w:tblLayout w:type="fixed"/>
        <w:tblCellMar>
          <w:top w:w="28" w:type="dxa"/>
          <w:left w:w="28" w:type="dxa"/>
          <w:bottom w:w="28" w:type="dxa"/>
          <w:right w:w="28" w:type="dxa"/>
        </w:tblCellMar>
      </w:tblPr>
      <w:tblGrid>
        <w:gridCol w:w="3191"/>
        <w:gridCol w:w="211"/>
        <w:gridCol w:w="691"/>
        <w:gridCol w:w="166"/>
        <w:gridCol w:w="336"/>
        <w:gridCol w:w="1029"/>
        <w:gridCol w:w="471"/>
      </w:tblGrid>
      <w:tr>
        <w:trPr/>
        <w:tc>
          <w:tcPr>
            <w:tcW w:w="3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6,597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property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Accumulated depreciation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Property and equipment,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Depreciation expense recorded for property and equipment was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for the three months ended June 30, 2026 and 2025, respectively, and $0.4</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Company's long-lived assets primarily consist of furniture and computer equipment. The table below summarizes long-lived assets based on their geographical area (in thousands):</w:t>
      </w:r>
    </w:p>
    <w:p>
      <w:pPr>
        <w:pStyle w:val="TextBody"/>
        <w:bidi w:val="0"/>
        <w:spacing w:before="12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033" w:type="dxa"/>
        <w:jc w:val="left"/>
        <w:tblInd w:w="0" w:type="dxa"/>
        <w:tblLayout w:type="fixed"/>
        <w:tblCellMar>
          <w:top w:w="28" w:type="dxa"/>
          <w:left w:w="28" w:type="dxa"/>
          <w:bottom w:w="28" w:type="dxa"/>
          <w:right w:w="28" w:type="dxa"/>
        </w:tblCellMar>
      </w:tblPr>
      <w:tblGrid>
        <w:gridCol w:w="1306"/>
        <w:gridCol w:w="234"/>
        <w:gridCol w:w="651"/>
        <w:gridCol w:w="146"/>
        <w:gridCol w:w="454"/>
        <w:gridCol w:w="911"/>
        <w:gridCol w:w="331"/>
      </w:tblGrid>
      <w:tr>
        <w:trPr/>
        <w:tc>
          <w:tcPr>
            <w:tcW w:w="13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5. Goodwill, Internal-use Software Development Costs and Intangible Assets</w:t>
      </w:r>
    </w:p>
    <w:p>
      <w:pPr>
        <w:pStyle w:val="TextBody"/>
        <w:bidi w:val="0"/>
        <w:spacing w:before="120" w:after="283"/>
        <w:jc w:val="left"/>
        <w:rPr>
          <w:rFonts w:ascii="Arial" w:hAnsi="Arial"/>
          <w:b/>
          <w:i/>
          <w:color w:val="000000"/>
          <w:sz w:val="20"/>
        </w:rPr>
      </w:pPr>
      <w:r>
        <w:rPr>
          <w:rFonts w:ascii="Arial" w:hAnsi="Arial"/>
          <w:b/>
          <w:i/>
          <w:color w:val="000000"/>
          <w:sz w:val="20"/>
        </w:rPr>
        <w:t>Goodwill</w:t>
      </w:r>
    </w:p>
    <w:p>
      <w:pPr>
        <w:pStyle w:val="TextBody"/>
        <w:bidi w:val="0"/>
        <w:spacing w:before="120" w:after="283"/>
        <w:jc w:val="both"/>
        <w:rPr>
          <w:rFonts w:ascii="Arial" w:hAnsi="Arial"/>
          <w:color w:val="000000"/>
          <w:sz w:val="20"/>
        </w:rPr>
      </w:pPr>
      <w:r>
        <w:rPr>
          <w:rFonts w:ascii="Arial" w:hAnsi="Arial"/>
          <w:color w:val="000000"/>
          <w:sz w:val="20"/>
        </w:rPr>
        <w:t>The changes in the carrying amount of goodwill during the three and six months ended June 30, 2026 and 2025 relate to foreign currency translation adjustments.</w:t>
      </w:r>
    </w:p>
    <w:p>
      <w:pPr>
        <w:pStyle w:val="TextBody"/>
        <w:bidi w:val="0"/>
        <w:spacing w:before="120" w:after="283"/>
        <w:jc w:val="both"/>
        <w:rPr>
          <w:rFonts w:ascii="Arial" w:hAnsi="Arial"/>
          <w:b/>
          <w:i/>
          <w:color w:val="000000"/>
          <w:sz w:val="20"/>
        </w:rPr>
      </w:pPr>
      <w:r>
        <w:rPr>
          <w:rFonts w:ascii="Arial" w:hAnsi="Arial"/>
          <w:b/>
          <w:i/>
          <w:color w:val="000000"/>
          <w:sz w:val="20"/>
        </w:rPr>
        <w:t>Internal-use Software Development Costs</w:t>
      </w:r>
    </w:p>
    <w:p>
      <w:pPr>
        <w:pStyle w:val="TextBody"/>
        <w:bidi w:val="0"/>
        <w:spacing w:before="120" w:after="283"/>
        <w:jc w:val="both"/>
        <w:rPr>
          <w:rFonts w:ascii="Times New Roman" w:hAnsi="Times New Roman"/>
          <w:sz w:val="20"/>
        </w:rPr>
      </w:pPr>
      <w:r>
        <w:rPr>
          <w:rFonts w:ascii="Arial" w:hAnsi="Arial"/>
          <w:color w:val="000000"/>
          <w:sz w:val="20"/>
        </w:rPr>
        <w:t>During the three months ended June 30, 2026 and 2025, the Company capitalized $9.7</w:t>
      </w:r>
      <w:r>
        <w:rPr>
          <w:rFonts w:ascii="Times New Roman" w:hAnsi="Times New Roman"/>
          <w:color w:val="000000"/>
          <w:sz w:val="20"/>
        </w:rPr>
        <w:t xml:space="preserve"> </w:t>
      </w:r>
      <w:r>
        <w:rPr>
          <w:rFonts w:ascii="Arial" w:hAnsi="Arial"/>
          <w:color w:val="000000"/>
          <w:sz w:val="20"/>
        </w:rPr>
        <w:t>million and $8.9</w:t>
      </w:r>
      <w:r>
        <w:rPr>
          <w:rFonts w:ascii="Times New Roman" w:hAnsi="Times New Roman"/>
          <w:color w:val="000000"/>
          <w:sz w:val="20"/>
        </w:rPr>
        <w:t xml:space="preserve"> </w:t>
      </w:r>
      <w:r>
        <w:rPr>
          <w:rFonts w:ascii="Arial" w:hAnsi="Arial"/>
          <w:color w:val="000000"/>
          <w:sz w:val="20"/>
        </w:rPr>
        <w:t>million of costs related to internal-use software development, respectively. During the six months ended June 30, 2026 and 2025, the Company capitalized $19.3</w:t>
      </w:r>
      <w:r>
        <w:rPr>
          <w:rFonts w:ascii="Times New Roman" w:hAnsi="Times New Roman"/>
          <w:color w:val="000000"/>
          <w:sz w:val="20"/>
        </w:rPr>
        <w:t xml:space="preserve"> </w:t>
      </w:r>
      <w:r>
        <w:rPr>
          <w:rFonts w:ascii="Arial" w:hAnsi="Arial"/>
          <w:color w:val="000000"/>
          <w:sz w:val="20"/>
        </w:rPr>
        <w:t>million and $18.3</w:t>
      </w:r>
      <w:r>
        <w:rPr>
          <w:rFonts w:ascii="Times New Roman" w:hAnsi="Times New Roman"/>
          <w:color w:val="000000"/>
          <w:sz w:val="20"/>
        </w:rPr>
        <w:t xml:space="preserve"> </w:t>
      </w:r>
      <w:r>
        <w:rPr>
          <w:rFonts w:ascii="Arial" w:hAnsi="Arial"/>
          <w:color w:val="000000"/>
          <w:sz w:val="20"/>
        </w:rPr>
        <w:t>million of costs related to internal-use software development, respectively.</w:t>
      </w:r>
    </w:p>
    <w:p>
      <w:pPr>
        <w:pStyle w:val="TextBody"/>
        <w:bidi w:val="0"/>
        <w:spacing w:before="120" w:after="120"/>
        <w:jc w:val="both"/>
        <w:rPr>
          <w:rFonts w:ascii="Arial" w:hAnsi="Arial"/>
          <w:color w:val="000000"/>
          <w:sz w:val="20"/>
        </w:rPr>
      </w:pPr>
      <w:r>
        <w:rPr>
          <w:rFonts w:ascii="Arial" w:hAnsi="Arial"/>
          <w:color w:val="000000"/>
          <w:sz w:val="20"/>
        </w:rPr>
        <w:t>Amortization expense included in the condensed consolidated statements of operations was as follows (in thousands):</w:t>
      </w:r>
    </w:p>
    <w:tbl>
      <w:tblPr>
        <w:tblW w:w="7016" w:type="dxa"/>
        <w:jc w:val="left"/>
        <w:tblInd w:w="0" w:type="dxa"/>
        <w:tblLayout w:type="fixed"/>
        <w:tblCellMar>
          <w:top w:w="28" w:type="dxa"/>
          <w:left w:w="28" w:type="dxa"/>
          <w:bottom w:w="28" w:type="dxa"/>
          <w:right w:w="28" w:type="dxa"/>
        </w:tblCellMar>
      </w:tblPr>
      <w:tblGrid>
        <w:gridCol w:w="2491"/>
        <w:gridCol w:w="254"/>
        <w:gridCol w:w="707"/>
        <w:gridCol w:w="176"/>
        <w:gridCol w:w="254"/>
        <w:gridCol w:w="707"/>
        <w:gridCol w:w="146"/>
        <w:gridCol w:w="211"/>
        <w:gridCol w:w="691"/>
        <w:gridCol w:w="146"/>
        <w:gridCol w:w="211"/>
        <w:gridCol w:w="691"/>
        <w:gridCol w:w="331"/>
      </w:tblGrid>
      <w:tr>
        <w:trPr/>
        <w:tc>
          <w:tcPr>
            <w:tcW w:w="249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8,418</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16,615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b/>
          <w:i/>
          <w:color w:val="000000"/>
          <w:sz w:val="20"/>
        </w:rPr>
      </w:pPr>
      <w:r>
        <w:rPr>
          <w:rFonts w:ascii="Arial" w:hAnsi="Arial"/>
          <w:b/>
          <w:i/>
          <w:color w:val="000000"/>
          <w:sz w:val="20"/>
        </w:rPr>
        <w:t>Intangible Assets</w:t>
      </w:r>
    </w:p>
    <w:p>
      <w:pPr>
        <w:pStyle w:val="TextBody"/>
        <w:bidi w:val="0"/>
        <w:spacing w:before="0" w:after="120"/>
        <w:jc w:val="both"/>
        <w:rPr>
          <w:rFonts w:ascii="Arial" w:hAnsi="Arial"/>
          <w:color w:val="000000"/>
          <w:sz w:val="20"/>
        </w:rPr>
      </w:pPr>
      <w:r>
        <w:rPr>
          <w:rFonts w:ascii="Arial" w:hAnsi="Arial"/>
          <w:color w:val="000000"/>
          <w:sz w:val="20"/>
        </w:rPr>
        <w:t>Intangible assets, net consisted of the following (in thousands):</w:t>
      </w:r>
    </w:p>
    <w:tbl>
      <w:tblPr>
        <w:tblW w:w="7020" w:type="dxa"/>
        <w:jc w:val="left"/>
        <w:tblInd w:w="0" w:type="dxa"/>
        <w:tblLayout w:type="fixed"/>
        <w:tblCellMar>
          <w:top w:w="28" w:type="dxa"/>
          <w:left w:w="28" w:type="dxa"/>
          <w:bottom w:w="28" w:type="dxa"/>
          <w:right w:w="28" w:type="dxa"/>
        </w:tblCellMar>
      </w:tblPr>
      <w:tblGrid>
        <w:gridCol w:w="2011"/>
        <w:gridCol w:w="211"/>
        <w:gridCol w:w="691"/>
        <w:gridCol w:w="146"/>
        <w:gridCol w:w="289"/>
        <w:gridCol w:w="1032"/>
        <w:gridCol w:w="166"/>
        <w:gridCol w:w="211"/>
        <w:gridCol w:w="691"/>
        <w:gridCol w:w="146"/>
        <w:gridCol w:w="305"/>
        <w:gridCol w:w="790"/>
        <w:gridCol w:w="331"/>
      </w:tblGrid>
      <w:tr>
        <w:trPr/>
        <w:tc>
          <w:tcPr>
            <w:tcW w:w="2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Useful Life</w:t>
              <w:br/>
              <w:t>(Years)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Software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Trademark</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pPr>
      <w:r>
        <w:rPr/>
        <w:t> </w:t>
      </w:r>
    </w:p>
    <w:tbl>
      <w:tblPr>
        <w:tblW w:w="7020" w:type="dxa"/>
        <w:jc w:val="left"/>
        <w:tblInd w:w="0" w:type="dxa"/>
        <w:tblLayout w:type="fixed"/>
        <w:tblCellMar>
          <w:top w:w="28" w:type="dxa"/>
          <w:left w:w="28" w:type="dxa"/>
          <w:bottom w:w="28" w:type="dxa"/>
          <w:right w:w="28" w:type="dxa"/>
        </w:tblCellMar>
      </w:tblPr>
      <w:tblGrid>
        <w:gridCol w:w="2011"/>
        <w:gridCol w:w="211"/>
        <w:gridCol w:w="691"/>
        <w:gridCol w:w="146"/>
        <w:gridCol w:w="289"/>
        <w:gridCol w:w="1032"/>
        <w:gridCol w:w="166"/>
        <w:gridCol w:w="211"/>
        <w:gridCol w:w="691"/>
        <w:gridCol w:w="146"/>
        <w:gridCol w:w="305"/>
        <w:gridCol w:w="790"/>
        <w:gridCol w:w="331"/>
      </w:tblGrid>
      <w:tr>
        <w:trPr/>
        <w:tc>
          <w:tcPr>
            <w:tcW w:w="2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Useful Life</w:t>
              <w:br/>
              <w:t>(Years)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Software and license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Trademark</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rFonts w:ascii="Times New Roman" w:hAnsi="Times New Roman"/>
          <w:sz w:val="20"/>
        </w:rPr>
      </w:pPr>
      <w:r>
        <w:rPr>
          <w:rFonts w:ascii="Arial" w:hAnsi="Arial"/>
          <w:color w:val="000000"/>
          <w:sz w:val="20"/>
        </w:rPr>
        <w:t>Amortization expense of intangible assets was $0.8</w:t>
      </w:r>
      <w:r>
        <w:rPr>
          <w:rFonts w:ascii="Times New Roman" w:hAnsi="Times New Roman"/>
          <w:color w:val="000000"/>
          <w:sz w:val="20"/>
        </w:rPr>
        <w:t xml:space="preserve"> </w:t>
      </w:r>
      <w:r>
        <w:rPr>
          <w:rFonts w:ascii="Arial" w:hAnsi="Arial"/>
          <w:color w:val="000000"/>
          <w:sz w:val="20"/>
        </w:rPr>
        <w:t>million and $2.1</w:t>
      </w:r>
      <w:r>
        <w:rPr>
          <w:rFonts w:ascii="Times New Roman" w:hAnsi="Times New Roman"/>
          <w:color w:val="000000"/>
          <w:sz w:val="20"/>
        </w:rPr>
        <w:t xml:space="preserve"> </w:t>
      </w:r>
      <w:r>
        <w:rPr>
          <w:rFonts w:ascii="Arial" w:hAnsi="Arial"/>
          <w:color w:val="000000"/>
          <w:sz w:val="20"/>
        </w:rPr>
        <w:t>million for the three months ended June 30, 2026 and 2025, respectively, and $1.6</w:t>
      </w:r>
      <w:r>
        <w:rPr>
          <w:rFonts w:ascii="Times New Roman" w:hAnsi="Times New Roman"/>
          <w:color w:val="000000"/>
          <w:sz w:val="20"/>
        </w:rPr>
        <w:t xml:space="preserve"> </w:t>
      </w:r>
      <w:r>
        <w:rPr>
          <w:rFonts w:ascii="Arial" w:hAnsi="Arial"/>
          <w:color w:val="000000"/>
          <w:sz w:val="20"/>
        </w:rPr>
        <w:t>million and $4.3</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spacing w:before="12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As of June 30, 2026, future expected amortization expense is as follows (in thousands):</w:t>
      </w:r>
    </w:p>
    <w:tbl>
      <w:tblPr>
        <w:tblW w:w="4684" w:type="dxa"/>
        <w:jc w:val="left"/>
        <w:tblInd w:w="0" w:type="dxa"/>
        <w:tblLayout w:type="fixed"/>
        <w:tblCellMar>
          <w:top w:w="28" w:type="dxa"/>
          <w:left w:w="28" w:type="dxa"/>
          <w:bottom w:w="28" w:type="dxa"/>
          <w:right w:w="28" w:type="dxa"/>
        </w:tblCellMar>
      </w:tblPr>
      <w:tblGrid>
        <w:gridCol w:w="3311"/>
        <w:gridCol w:w="211"/>
        <w:gridCol w:w="691"/>
        <w:gridCol w:w="471"/>
      </w:tblGrid>
      <w:tr>
        <w:trPr/>
        <w:tc>
          <w:tcPr>
            <w:tcW w:w="3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 December 31,</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2029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future amortization expense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of goodwill, internal-use software development costs or intangible assets in the three or six months ended June 30, 2026 and 2025.</w:t>
      </w:r>
    </w:p>
    <w:p>
      <w:pPr>
        <w:pStyle w:val="TextBody"/>
        <w:bidi w:val="0"/>
        <w:spacing w:before="120" w:after="283"/>
        <w:jc w:val="left"/>
        <w:rPr>
          <w:rFonts w:ascii="Arial" w:hAnsi="Arial"/>
          <w:b/>
          <w:color w:val="000000"/>
          <w:sz w:val="20"/>
        </w:rPr>
      </w:pPr>
      <w:r>
        <w:rPr>
          <w:rFonts w:ascii="Arial" w:hAnsi="Arial"/>
          <w:b/>
          <w:color w:val="000000"/>
          <w:sz w:val="20"/>
        </w:rPr>
        <w:t>6. Prepaid expenses and other assets</w:t>
      </w:r>
    </w:p>
    <w:p>
      <w:pPr>
        <w:pStyle w:val="TextBody"/>
        <w:bidi w:val="0"/>
        <w:spacing w:before="120" w:after="120"/>
        <w:jc w:val="both"/>
        <w:rPr>
          <w:rFonts w:ascii="Arial" w:hAnsi="Arial"/>
          <w:color w:val="000000"/>
          <w:sz w:val="20"/>
        </w:rPr>
      </w:pPr>
      <w:r>
        <w:rPr>
          <w:rFonts w:ascii="Arial" w:hAnsi="Arial"/>
          <w:color w:val="000000"/>
          <w:sz w:val="20"/>
        </w:rPr>
        <w:t>The composition of prepaid expenses and other assets is as follows (in thousands):</w:t>
      </w:r>
    </w:p>
    <w:tbl>
      <w:tblPr>
        <w:tblW w:w="6545" w:type="dxa"/>
        <w:jc w:val="left"/>
        <w:tblInd w:w="0" w:type="dxa"/>
        <w:tblLayout w:type="fixed"/>
        <w:tblCellMar>
          <w:top w:w="28" w:type="dxa"/>
          <w:left w:w="28" w:type="dxa"/>
          <w:bottom w:w="28" w:type="dxa"/>
          <w:right w:w="28" w:type="dxa"/>
        </w:tblCellMar>
      </w:tblPr>
      <w:tblGrid>
        <w:gridCol w:w="3801"/>
        <w:gridCol w:w="211"/>
        <w:gridCol w:w="691"/>
        <w:gridCol w:w="146"/>
        <w:gridCol w:w="319"/>
        <w:gridCol w:w="1046"/>
        <w:gridCol w:w="331"/>
      </w:tblGrid>
      <w:tr>
        <w:trPr/>
        <w:tc>
          <w:tcPr>
            <w:tcW w:w="3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8,138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 acquisition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prepaid expenses and other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17,509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Contract acquisition costs consist of upfront customer contract discounts, unamortized warrants cost and sales commissions. Other assets consist of security deposits for leased properties and investment in term deposits.</w:t>
      </w:r>
    </w:p>
    <w:p>
      <w:pPr>
        <w:pStyle w:val="TextBody"/>
        <w:bidi w:val="0"/>
        <w:spacing w:before="120" w:after="283"/>
        <w:jc w:val="both"/>
        <w:rPr>
          <w:rFonts w:ascii="Arial" w:hAnsi="Arial"/>
          <w:b/>
          <w:color w:val="000000"/>
          <w:sz w:val="20"/>
        </w:rPr>
      </w:pPr>
      <w:r>
        <w:rPr>
          <w:rFonts w:ascii="Arial" w:hAnsi="Arial"/>
          <w:b/>
          <w:color w:val="000000"/>
          <w:sz w:val="20"/>
        </w:rPr>
        <w:t>7. Accrued and other liabilities</w:t>
      </w:r>
    </w:p>
    <w:p>
      <w:pPr>
        <w:pStyle w:val="TextBody"/>
        <w:bidi w:val="0"/>
        <w:spacing w:before="120" w:after="120"/>
        <w:jc w:val="both"/>
        <w:rPr>
          <w:rFonts w:ascii="Arial" w:hAnsi="Arial"/>
          <w:color w:val="000000"/>
          <w:sz w:val="20"/>
        </w:rPr>
      </w:pPr>
      <w:r>
        <w:rPr>
          <w:rFonts w:ascii="Arial" w:hAnsi="Arial"/>
          <w:color w:val="000000"/>
          <w:sz w:val="20"/>
        </w:rPr>
        <w:t>The composition of accrued and other liabilities is as follows (in thousands):</w:t>
      </w:r>
    </w:p>
    <w:tbl>
      <w:tblPr>
        <w:tblW w:w="6285" w:type="dxa"/>
        <w:jc w:val="left"/>
        <w:tblInd w:w="0" w:type="dxa"/>
        <w:tblLayout w:type="fixed"/>
        <w:tblCellMar>
          <w:top w:w="28" w:type="dxa"/>
          <w:left w:w="28" w:type="dxa"/>
          <w:bottom w:w="28" w:type="dxa"/>
          <w:right w:w="28" w:type="dxa"/>
        </w:tblCellMar>
      </w:tblPr>
      <w:tblGrid>
        <w:gridCol w:w="3541"/>
        <w:gridCol w:w="211"/>
        <w:gridCol w:w="691"/>
        <w:gridCol w:w="146"/>
        <w:gridCol w:w="319"/>
        <w:gridCol w:w="1046"/>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employee-related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accrued and other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Other accrued expenses consist of professional services, legal accruals, obligations related to agency commissions and other miscellaneous accruals. Other liabilities primarily consist of deferred vendor incentives and amounts payable to customers related to refunds arising from various circumstances.</w:t>
      </w:r>
    </w:p>
    <w:p>
      <w:pPr>
        <w:pStyle w:val="TextBody"/>
        <w:bidi w:val="0"/>
        <w:spacing w:before="120" w:after="283"/>
        <w:jc w:val="both"/>
        <w:rPr>
          <w:rFonts w:ascii="Arial" w:hAnsi="Arial"/>
          <w:b/>
          <w:color w:val="000000"/>
          <w:sz w:val="20"/>
        </w:rPr>
      </w:pPr>
      <w:r>
        <w:rPr>
          <w:rFonts w:ascii="Arial" w:hAnsi="Arial"/>
          <w:b/>
          <w:color w:val="000000"/>
          <w:sz w:val="20"/>
        </w:rPr>
        <w:t>8. Commitments and Contingencies</w:t>
      </w:r>
    </w:p>
    <w:p>
      <w:pPr>
        <w:pStyle w:val="TextBody"/>
        <w:bidi w:val="0"/>
        <w:spacing w:before="120" w:after="283"/>
        <w:jc w:val="both"/>
        <w:rPr>
          <w:rFonts w:ascii="Times New Roman" w:hAnsi="Times New Roman"/>
          <w:sz w:val="20"/>
        </w:rPr>
      </w:pPr>
      <w:r>
        <w:rPr>
          <w:rFonts w:ascii="Arial" w:hAnsi="Arial"/>
          <w:b/>
          <w:i/>
          <w:color w:val="000000"/>
          <w:sz w:val="20"/>
        </w:rPr>
        <w:t>Other Commitments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Company has entered into certain non-cancellable agreements for software and marketing services that specify all significant terms, including fixed or minimum services to be used, pricing provisions and the approximate timing of the transaction. There have been no material changes to the Company's contractual obligations or commitments outside of the ordinary course of business as compared to those described in the 2025 Form 10-K. This disclosure excludes obligations under contracts that are cancellable or have remaining terms of 12 months or less.</w:t>
      </w:r>
    </w:p>
    <w:p>
      <w:pPr>
        <w:pStyle w:val="TextBody"/>
        <w:bidi w:val="0"/>
        <w:spacing w:before="120" w:after="283"/>
        <w:jc w:val="both"/>
        <w:rPr>
          <w:rFonts w:ascii="Arial" w:hAnsi="Arial"/>
          <w:b/>
          <w:i/>
          <w:color w:val="000000"/>
          <w:sz w:val="20"/>
        </w:rPr>
      </w:pPr>
      <w:r>
        <w:rPr>
          <w:rFonts w:ascii="Arial" w:hAnsi="Arial"/>
          <w:b/>
          <w:i/>
          <w:color w:val="000000"/>
          <w:sz w:val="20"/>
        </w:rPr>
        <w:t>Legal Matters</w:t>
      </w:r>
    </w:p>
    <w:p>
      <w:pPr>
        <w:pStyle w:val="TextBody"/>
        <w:bidi w:val="0"/>
        <w:spacing w:before="120" w:after="283"/>
        <w:jc w:val="both"/>
        <w:rPr>
          <w:rFonts w:ascii="Arial" w:hAnsi="Arial"/>
          <w:color w:val="000000"/>
          <w:sz w:val="20"/>
        </w:rPr>
      </w:pPr>
      <w:r>
        <w:rPr>
          <w:rFonts w:ascii="Arial" w:hAnsi="Arial"/>
          <w:color w:val="000000"/>
          <w:sz w:val="20"/>
        </w:rPr>
        <w:t>From time to time, the Company is subject to or otherwise involved in various lawsuits, claims and legal proceedings that arise out of or are incidental to the conduct of our business, including those relating to employment matters, and contractual and other commercial disputes.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probable to result in a liability and the amount of loss can be reasonably estimated, the Company estimates and records an accrued liability. Accrued liabilities related to legal matters are included within other accrued expenses in Note 7. If the loss is not probable or cannot be reasonably estimated, a liability is not recorded in the Company's condensed consolidated financial statements. While it is not feasible to predict or determine the ultimate outcome of these matters, the Company believes that, as of June 30, 2026, no current claims and legal proceedings are expected to have a material adverse effect on its financial position, results of operations or cash flows.</w:t>
      </w:r>
    </w:p>
    <w:p>
      <w:pPr>
        <w:pStyle w:val="TextBody"/>
        <w:bidi w:val="0"/>
        <w:spacing w:before="12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b/>
          <w:i/>
          <w:color w:val="000000"/>
          <w:sz w:val="20"/>
        </w:rPr>
      </w:pPr>
      <w:r>
        <w:rPr>
          <w:rFonts w:ascii="Arial" w:hAnsi="Arial"/>
          <w:b/>
          <w:i/>
          <w:color w:val="000000"/>
          <w:sz w:val="20"/>
        </w:rPr>
        <w:t>Indemnification</w:t>
      </w:r>
    </w:p>
    <w:p>
      <w:pPr>
        <w:pStyle w:val="TextBody"/>
        <w:bidi w:val="0"/>
        <w:spacing w:before="120" w:after="283"/>
        <w:jc w:val="both"/>
        <w:rPr>
          <w:rFonts w:ascii="Times New Roman" w:hAnsi="Times New Roman"/>
          <w:sz w:val="20"/>
        </w:rPr>
      </w:pPr>
      <w:r>
        <w:rPr>
          <w:rFonts w:ascii="Arial" w:hAnsi="Arial"/>
          <w:color w:val="000000"/>
          <w:sz w:val="20"/>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9. Equity</w:t>
      </w:r>
    </w:p>
    <w:p>
      <w:pPr>
        <w:pStyle w:val="TextBody"/>
        <w:bidi w:val="0"/>
        <w:spacing w:before="120" w:after="283"/>
        <w:jc w:val="left"/>
        <w:rPr>
          <w:rFonts w:ascii="Arial" w:hAnsi="Arial"/>
          <w:b/>
          <w:i/>
          <w:color w:val="000000"/>
          <w:sz w:val="20"/>
        </w:rPr>
      </w:pPr>
      <w:r>
        <w:rPr>
          <w:rFonts w:ascii="Arial" w:hAnsi="Arial"/>
          <w:b/>
          <w:i/>
          <w:color w:val="000000"/>
          <w:sz w:val="20"/>
        </w:rPr>
        <w:t>Warrants</w:t>
      </w:r>
    </w:p>
    <w:p>
      <w:pPr>
        <w:pStyle w:val="TextBody"/>
        <w:bidi w:val="0"/>
        <w:spacing w:before="120" w:after="283"/>
        <w:jc w:val="both"/>
        <w:rPr>
          <w:rFonts w:ascii="Times New Roman" w:hAnsi="Times New Roman"/>
          <w:sz w:val="20"/>
        </w:rPr>
      </w:pPr>
      <w:r>
        <w:rPr>
          <w:rFonts w:ascii="Arial" w:hAnsi="Arial"/>
          <w:color w:val="000000"/>
          <w:sz w:val="20"/>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w:t>
      </w:r>
      <w:r>
        <w:rPr>
          <w:rFonts w:ascii="Times New Roman" w:hAnsi="Times New Roman"/>
          <w:color w:val="000000"/>
          <w:sz w:val="20"/>
        </w:rPr>
        <w:t xml:space="preserve"> </w:t>
      </w:r>
      <w:r>
        <w:rPr>
          <w:rFonts w:ascii="Arial" w:hAnsi="Arial"/>
          <w:color w:val="000000"/>
          <w:sz w:val="20"/>
        </w:rPr>
        <w:t>shares of Class A common stock upon completion of the IPO at an exercise price of $18.38</w:t>
      </w:r>
      <w:r>
        <w:rPr>
          <w:rFonts w:ascii="Times New Roman" w:hAnsi="Times New Roman"/>
          <w:color w:val="000000"/>
          <w:sz w:val="20"/>
        </w:rPr>
        <w:t xml:space="preserve"> </w:t>
      </w:r>
      <w:r>
        <w:rPr>
          <w:rFonts w:ascii="Arial" w:hAnsi="Arial"/>
          <w:color w:val="000000"/>
          <w:sz w:val="20"/>
        </w:rPr>
        <w:t>per share (the “May 2021 warrant agreement”). Upon completion of the IPO, 382,027</w:t>
      </w:r>
      <w:r>
        <w:rPr>
          <w:rFonts w:ascii="Times New Roman" w:hAnsi="Times New Roman"/>
          <w:color w:val="000000"/>
          <w:sz w:val="20"/>
        </w:rPr>
        <w:t xml:space="preserve"> </w:t>
      </w:r>
      <w:r>
        <w:rPr>
          <w:rFonts w:ascii="Arial" w:hAnsi="Arial"/>
          <w:color w:val="000000"/>
          <w:sz w:val="20"/>
        </w:rPr>
        <w:t>of the warrant shares vested and were exercisable. The vesting of the remaining 127,343</w:t>
      </w:r>
      <w:r>
        <w:rPr>
          <w:rFonts w:ascii="Times New Roman" w:hAnsi="Times New Roman"/>
          <w:color w:val="000000"/>
          <w:sz w:val="20"/>
        </w:rPr>
        <w:t xml:space="preserve"> </w:t>
      </w:r>
      <w:r>
        <w:rPr>
          <w:rFonts w:ascii="Arial" w:hAnsi="Arial"/>
          <w:color w:val="000000"/>
          <w:sz w:val="20"/>
        </w:rPr>
        <w:t>shares of Class A common stock underlying the warrant was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June 30, 2026, all 509,370</w:t>
      </w:r>
      <w:r>
        <w:rPr>
          <w:rFonts w:ascii="Times New Roman" w:hAnsi="Times New Roman"/>
          <w:color w:val="000000"/>
          <w:sz w:val="20"/>
        </w:rPr>
        <w:t xml:space="preserve"> </w:t>
      </w:r>
      <w:r>
        <w:rPr>
          <w:rFonts w:ascii="Arial" w:hAnsi="Arial"/>
          <w:color w:val="000000"/>
          <w:sz w:val="20"/>
        </w:rPr>
        <w:t>warrant shares were vested and exercisable under the May 2021 warrant agreement.</w:t>
      </w:r>
    </w:p>
    <w:p>
      <w:pPr>
        <w:pStyle w:val="TextBody"/>
        <w:bidi w:val="0"/>
        <w:spacing w:before="120" w:after="283"/>
        <w:jc w:val="both"/>
        <w:rPr>
          <w:rFonts w:ascii="Times New Roman" w:hAnsi="Times New Roman"/>
          <w:sz w:val="20"/>
        </w:rPr>
      </w:pPr>
      <w:r>
        <w:rPr>
          <w:rFonts w:ascii="Arial" w:hAnsi="Arial"/>
          <w:color w:val="000000"/>
          <w:sz w:val="20"/>
        </w:rPr>
        <w:t>On August 29, 2022, the Company entered into a second warrant agreement with JPMC, in connection with an amendment to the Company's existing commercial agreement with JPM Chase discussed above, pursuant to which the Company issued a warrant to JPMC for up to 684,510</w:t>
      </w:r>
      <w:r>
        <w:rPr>
          <w:rFonts w:ascii="Times New Roman" w:hAnsi="Times New Roman"/>
          <w:color w:val="000000"/>
          <w:sz w:val="20"/>
        </w:rPr>
        <w:t xml:space="preserve"> </w:t>
      </w:r>
      <w:r>
        <w:rPr>
          <w:rFonts w:ascii="Arial" w:hAnsi="Arial"/>
          <w:color w:val="000000"/>
          <w:sz w:val="20"/>
        </w:rPr>
        <w:t>shares of Class A common stock at an exercise price of $10.10</w:t>
      </w:r>
      <w:r>
        <w:rPr>
          <w:rFonts w:ascii="Times New Roman" w:hAnsi="Times New Roman"/>
          <w:color w:val="000000"/>
          <w:sz w:val="20"/>
        </w:rPr>
        <w:t xml:space="preserve"> </w:t>
      </w:r>
      <w:r>
        <w:rPr>
          <w:rFonts w:ascii="Arial" w:hAnsi="Arial"/>
          <w:color w:val="000000"/>
          <w:sz w:val="20"/>
        </w:rPr>
        <w:t>per share (the “August 2022 warrant agreement”). Upon signing the August 2022 warrant agreement, 171,128</w:t>
      </w:r>
      <w:r>
        <w:rPr>
          <w:rFonts w:ascii="Times New Roman" w:hAnsi="Times New Roman"/>
          <w:color w:val="000000"/>
          <w:sz w:val="20"/>
        </w:rPr>
        <w:t xml:space="preserve"> </w:t>
      </w:r>
      <w:r>
        <w:rPr>
          <w:rFonts w:ascii="Arial" w:hAnsi="Arial"/>
          <w:color w:val="000000"/>
          <w:sz w:val="20"/>
        </w:rPr>
        <w:t>of the warrant shares vested and were exercisable. The vesting of the remaining 513,382</w:t>
      </w:r>
      <w:r>
        <w:rPr>
          <w:rFonts w:ascii="Times New Roman" w:hAnsi="Times New Roman"/>
          <w:color w:val="000000"/>
          <w:sz w:val="20"/>
        </w:rPr>
        <w:t xml:space="preserve"> </w:t>
      </w:r>
      <w:r>
        <w:rPr>
          <w:rFonts w:ascii="Arial" w:hAnsi="Arial"/>
          <w:color w:val="000000"/>
          <w:sz w:val="20"/>
        </w:rPr>
        <w:t>shares of Class A common stock underlying the warrant was subject to the achievement of certain commercial milestones through December 31, 2026 pursuant to the commercial agreement, as amended. As of June 30, 2026, all 684,510</w:t>
      </w:r>
      <w:r>
        <w:rPr>
          <w:rFonts w:ascii="Times New Roman" w:hAnsi="Times New Roman"/>
          <w:color w:val="000000"/>
          <w:sz w:val="20"/>
        </w:rPr>
        <w:t xml:space="preserve"> </w:t>
      </w:r>
      <w:r>
        <w:rPr>
          <w:rFonts w:ascii="Arial" w:hAnsi="Arial"/>
          <w:color w:val="000000"/>
          <w:sz w:val="20"/>
        </w:rPr>
        <w:t>warrant shares were vested and exercisable under the August 2022 warrant agreement.</w:t>
      </w:r>
    </w:p>
    <w:p>
      <w:pPr>
        <w:pStyle w:val="TextBody"/>
        <w:bidi w:val="0"/>
        <w:spacing w:before="120" w:after="283"/>
        <w:jc w:val="both"/>
        <w:rPr>
          <w:rFonts w:ascii="Times New Roman" w:hAnsi="Times New Roman"/>
          <w:sz w:val="20"/>
        </w:rPr>
      </w:pPr>
      <w:r>
        <w:rPr>
          <w:rFonts w:ascii="Arial" w:hAnsi="Arial"/>
          <w:color w:val="000000"/>
          <w:sz w:val="20"/>
        </w:rPr>
        <w:t xml:space="preserve">The Company accounts for the consideration payable in the form of warrants to its vendor as share-based compensation expense. The warrant fair value was determined using the Black-Scholes pricing model in accordance with ASC 718, </w:t>
      </w:r>
      <w:r>
        <w:rPr>
          <w:rFonts w:ascii="Arial" w:hAnsi="Arial"/>
          <w:i/>
          <w:color w:val="000000"/>
          <w:sz w:val="20"/>
        </w:rPr>
        <w:t>Compensation-Stock Compensation.</w:t>
      </w:r>
    </w:p>
    <w:p>
      <w:pPr>
        <w:pStyle w:val="TextBody"/>
        <w:bidi w:val="0"/>
        <w:spacing w:before="120" w:after="283"/>
        <w:jc w:val="both"/>
        <w:rPr>
          <w:rFonts w:ascii="Arial" w:hAnsi="Arial"/>
          <w:b/>
          <w:color w:val="000000"/>
          <w:sz w:val="20"/>
        </w:rPr>
      </w:pPr>
      <w:r>
        <w:rPr>
          <w:rFonts w:ascii="Arial" w:hAnsi="Arial"/>
          <w:b/>
          <w:color w:val="000000"/>
          <w:sz w:val="20"/>
        </w:rPr>
        <w:t>10. Stock-Based Compensation</w:t>
      </w:r>
    </w:p>
    <w:p>
      <w:pPr>
        <w:pStyle w:val="TextBody"/>
        <w:bidi w:val="0"/>
        <w:spacing w:before="120" w:after="283"/>
        <w:jc w:val="both"/>
        <w:rPr>
          <w:rFonts w:ascii="Times New Roman" w:hAnsi="Times New Roman"/>
          <w:sz w:val="20"/>
        </w:rPr>
      </w:pPr>
      <w:r>
        <w:rPr>
          <w:rFonts w:ascii="Arial" w:hAnsi="Arial"/>
          <w:color w:val="000000"/>
          <w:sz w:val="20"/>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("IRC"),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w:t>
      </w:r>
      <w:r>
        <w:rPr>
          <w:rFonts w:ascii="Times New Roman" w:hAnsi="Times New Roman"/>
          <w:color w:val="000000"/>
          <w:sz w:val="20"/>
        </w:rPr>
        <w:t xml:space="preserve"> </w:t>
      </w:r>
      <w:r>
        <w:rPr>
          <w:rFonts w:ascii="Arial" w:hAnsi="Arial"/>
          <w:color w:val="000000"/>
          <w:sz w:val="20"/>
        </w:rPr>
        <w:t>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2026, pursuant to the Evergreen Addition, approximately 5.0</w:t>
      </w:r>
      <w:r>
        <w:rPr>
          <w:rFonts w:ascii="Times New Roman" w:hAnsi="Times New Roman"/>
          <w:color w:val="000000"/>
          <w:sz w:val="20"/>
        </w:rPr>
        <w:t xml:space="preserve"> </w:t>
      </w:r>
      <w:r>
        <w:rPr>
          <w:rFonts w:ascii="Arial" w:hAnsi="Arial"/>
          <w:color w:val="000000"/>
          <w:sz w:val="20"/>
        </w:rPr>
        <w:t>million shares of Class A common stock were added to the 2021 Plan issuance reserve. At June 30, 2026, there were approximately 29.5</w:t>
      </w:r>
      <w:r>
        <w:rPr>
          <w:rFonts w:ascii="Times New Roman" w:hAnsi="Times New Roman"/>
          <w:color w:val="000000"/>
          <w:sz w:val="20"/>
        </w:rPr>
        <w:t xml:space="preserve"> </w:t>
      </w:r>
      <w:r>
        <w:rPr>
          <w:rFonts w:ascii="Arial" w:hAnsi="Arial"/>
          <w:color w:val="000000"/>
          <w:sz w:val="20"/>
        </w:rPr>
        <w:t>million remaining shares available for the Company to grant under the 2021 Plan.</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rFonts w:ascii="Arial" w:hAnsi="Arial"/>
          <w:b/>
          <w:i/>
          <w:color w:val="000000"/>
          <w:sz w:val="20"/>
        </w:rPr>
      </w:pPr>
      <w:r>
        <w:rPr>
          <w:rFonts w:ascii="Arial" w:hAnsi="Arial"/>
          <w:b/>
          <w:i/>
          <w:color w:val="000000"/>
          <w:sz w:val="20"/>
        </w:rPr>
        <w:t>Stock Options</w:t>
      </w:r>
    </w:p>
    <w:p>
      <w:pPr>
        <w:pStyle w:val="TextBody"/>
        <w:bidi w:val="0"/>
        <w:spacing w:before="12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Arial" w:hAnsi="Arial"/>
          <w:color w:val="000000"/>
          <w:sz w:val="20"/>
        </w:rPr>
        <w:t>A summary of the Company</w:t>
      </w:r>
      <w:r>
        <w:rPr>
          <w:rFonts w:ascii="Times New Roman" w:hAnsi="Times New Roman"/>
          <w:color w:val="000000"/>
          <w:sz w:val="20"/>
        </w:rPr>
        <w:t>’</w:t>
      </w:r>
      <w:r>
        <w:rPr>
          <w:rFonts w:ascii="Arial" w:hAnsi="Arial"/>
          <w:color w:val="000000"/>
          <w:sz w:val="20"/>
        </w:rPr>
        <w:t>s option activity during the six months ended June 30, 2026 was as follows (in thousands, except share and per share amounts):</w:t>
      </w:r>
    </w:p>
    <w:tbl>
      <w:tblPr>
        <w:tblW w:w="8988" w:type="dxa"/>
        <w:jc w:val="left"/>
        <w:tblInd w:w="0" w:type="dxa"/>
        <w:tblLayout w:type="fixed"/>
        <w:tblCellMar>
          <w:top w:w="28" w:type="dxa"/>
          <w:left w:w="28" w:type="dxa"/>
          <w:bottom w:w="28" w:type="dxa"/>
          <w:right w:w="28" w:type="dxa"/>
        </w:tblCellMar>
      </w:tblPr>
      <w:tblGrid>
        <w:gridCol w:w="3151"/>
        <w:gridCol w:w="164"/>
        <w:gridCol w:w="1082"/>
        <w:gridCol w:w="166"/>
        <w:gridCol w:w="438"/>
        <w:gridCol w:w="1002"/>
        <w:gridCol w:w="146"/>
        <w:gridCol w:w="271"/>
        <w:gridCol w:w="900"/>
        <w:gridCol w:w="146"/>
        <w:gridCol w:w="245"/>
        <w:gridCol w:w="806"/>
        <w:gridCol w:w="471"/>
      </w:tblGrid>
      <w:tr>
        <w:trPr/>
        <w:tc>
          <w:tcPr>
            <w:tcW w:w="31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Intrinsic</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Life </w:t>
            </w:r>
            <w:r>
              <w:rPr>
                <w:rFonts w:ascii="Arial" w:hAnsi="Arial"/>
                <w:b/>
                <w:i/>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3,443,585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79,016</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Options exercised</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June 30, 2026</w:t>
            </w:r>
          </w:p>
        </w:tc>
        <w:tc>
          <w:tcPr>
            <w:tcW w:w="1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3,441,877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53,403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June 30, 2026</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3,441,877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53,403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options granted or expired during the six months ended June 30, 2026 and 2025, and no options were forfeited during the six months ended June 30, 2026. Aggregate intrinsic value represents the difference between the exercise price of the options and the fair value of the Company’s common stock. The aggregate intrinsic value of options exercised during the three months ended June 30, 2026 and 2025</w:t>
      </w:r>
      <w:r>
        <w:rPr>
          <w:rFonts w:ascii="Times New Roman" w:hAnsi="Times New Roman"/>
          <w:color w:val="000000"/>
          <w:sz w:val="20"/>
        </w:rPr>
        <w:t xml:space="preserve"> </w:t>
      </w:r>
      <w:r>
        <w:rPr>
          <w:rFonts w:ascii="Arial" w:hAnsi="Arial"/>
          <w:color w:val="000000"/>
          <w:sz w:val="20"/>
        </w:rPr>
        <w:t>was less than $0.1</w:t>
      </w:r>
      <w:r>
        <w:rPr>
          <w:rFonts w:ascii="Times New Roman" w:hAnsi="Times New Roman"/>
          <w:color w:val="000000"/>
          <w:sz w:val="20"/>
        </w:rPr>
        <w:t xml:space="preserve"> </w:t>
      </w:r>
      <w:r>
        <w:rPr>
          <w:rFonts w:ascii="Arial" w:hAnsi="Arial"/>
          <w:color w:val="000000"/>
          <w:sz w:val="20"/>
        </w:rPr>
        <w:t>million and $1.0</w:t>
      </w:r>
      <w:r>
        <w:rPr>
          <w:rFonts w:ascii="Times New Roman" w:hAnsi="Times New Roman"/>
          <w:color w:val="000000"/>
          <w:sz w:val="20"/>
        </w:rPr>
        <w:t xml:space="preserve"> </w:t>
      </w:r>
      <w:r>
        <w:rPr>
          <w:rFonts w:ascii="Arial" w:hAnsi="Arial"/>
          <w:color w:val="000000"/>
          <w:sz w:val="20"/>
        </w:rPr>
        <w:t>million, respectively, and less than $0.1</w:t>
      </w:r>
      <w:r>
        <w:rPr>
          <w:rFonts w:ascii="Times New Roman" w:hAnsi="Times New Roman"/>
          <w:color w:val="000000"/>
          <w:sz w:val="20"/>
        </w:rPr>
        <w:t xml:space="preserve"> </w:t>
      </w:r>
      <w:r>
        <w:rPr>
          <w:rFonts w:ascii="Arial" w:hAnsi="Arial"/>
          <w:color w:val="000000"/>
          <w:sz w:val="20"/>
        </w:rPr>
        <w:t>million and $1.9</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jc w:val="both"/>
        <w:rPr>
          <w:rFonts w:ascii="Arial" w:hAnsi="Arial"/>
          <w:color w:val="000000"/>
          <w:sz w:val="20"/>
        </w:rPr>
      </w:pPr>
      <w:r>
        <w:rPr>
          <w:rFonts w:ascii="Arial" w:hAnsi="Arial"/>
          <w:color w:val="000000"/>
          <w:sz w:val="20"/>
        </w:rPr>
        <w:t>At June 30, 2026, all outstanding stock options granted under the 2012 Equity Incentive Plan were fully vested. Accordingly, there was no unrecognized compensation cost related to unvested stock options.</w:t>
      </w:r>
    </w:p>
    <w:p>
      <w:pPr>
        <w:pStyle w:val="TextBody"/>
        <w:bidi w:val="0"/>
        <w:spacing w:before="120" w:after="283"/>
        <w:jc w:val="both"/>
        <w:rPr>
          <w:rFonts w:ascii="Arial" w:hAnsi="Arial"/>
          <w:b/>
          <w:color w:val="000000"/>
          <w:sz w:val="20"/>
        </w:rPr>
      </w:pPr>
      <w:r>
        <w:rPr>
          <w:rFonts w:ascii="Arial" w:hAnsi="Arial"/>
          <w:b/>
          <w:color w:val="000000"/>
          <w:sz w:val="20"/>
        </w:rPr>
        <w:t>Restricted Stock Units ("RSUs")</w:t>
      </w:r>
    </w:p>
    <w:p>
      <w:pPr>
        <w:pStyle w:val="TextBody"/>
        <w:bidi w:val="0"/>
        <w:spacing w:before="120" w:after="120"/>
        <w:jc w:val="both"/>
        <w:rPr>
          <w:rFonts w:ascii="Times New Roman" w:hAnsi="Times New Roman"/>
          <w:sz w:val="20"/>
        </w:rPr>
      </w:pPr>
      <w:r>
        <w:rPr>
          <w:rFonts w:ascii="Arial" w:hAnsi="Arial"/>
          <w:color w:val="000000"/>
          <w:sz w:val="20"/>
        </w:rPr>
        <w:t>A summary of the Company</w:t>
      </w:r>
      <w:r>
        <w:rPr>
          <w:rFonts w:ascii="Times New Roman" w:hAnsi="Times New Roman"/>
          <w:color w:val="000000"/>
          <w:sz w:val="20"/>
        </w:rPr>
        <w:t>’</w:t>
      </w:r>
      <w:r>
        <w:rPr>
          <w:rFonts w:ascii="Arial" w:hAnsi="Arial"/>
          <w:color w:val="000000"/>
          <w:sz w:val="20"/>
        </w:rPr>
        <w:t>s RSU activity during the six months ended June 30, 2026 was as follows:</w:t>
      </w:r>
    </w:p>
    <w:tbl>
      <w:tblPr>
        <w:tblW w:w="7044" w:type="dxa"/>
        <w:jc w:val="left"/>
        <w:tblInd w:w="0" w:type="dxa"/>
        <w:tblLayout w:type="fixed"/>
        <w:tblCellMar>
          <w:top w:w="28" w:type="dxa"/>
          <w:left w:w="28" w:type="dxa"/>
          <w:bottom w:w="28" w:type="dxa"/>
          <w:right w:w="28" w:type="dxa"/>
        </w:tblCellMar>
      </w:tblPr>
      <w:tblGrid>
        <w:gridCol w:w="4081"/>
        <w:gridCol w:w="164"/>
        <w:gridCol w:w="1082"/>
        <w:gridCol w:w="166"/>
        <w:gridCol w:w="285"/>
        <w:gridCol w:w="795"/>
        <w:gridCol w:w="471"/>
      </w:tblGrid>
      <w:tr>
        <w:trPr/>
        <w:tc>
          <w:tcPr>
            <w:tcW w:w="40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Average</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RSUs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Grant Date</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Awarded and unvested at December 31, 2025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2,766,276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Awards granted</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Awards vested</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Awards forfeited</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Awarded and unvested at June 30, 2026</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3,429,418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The fair value of RSU grants is determined based upon the market closing price of the Company’s Class A common stock on the date of grant. The aggregate grant-date fair value of RSUs granted during the three months ended June 30, 2026 and 2025 was $12.7</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and $34.8</w:t>
      </w:r>
      <w:r>
        <w:rPr>
          <w:rFonts w:ascii="Times New Roman" w:hAnsi="Times New Roman"/>
          <w:color w:val="000000"/>
          <w:sz w:val="20"/>
        </w:rPr>
        <w:t xml:space="preserve"> </w:t>
      </w:r>
      <w:r>
        <w:rPr>
          <w:rFonts w:ascii="Arial" w:hAnsi="Arial"/>
          <w:color w:val="000000"/>
          <w:sz w:val="20"/>
        </w:rPr>
        <w:t>million and $17.8</w:t>
      </w:r>
      <w:r>
        <w:rPr>
          <w:rFonts w:ascii="Times New Roman" w:hAnsi="Times New Roman"/>
          <w:color w:val="000000"/>
          <w:sz w:val="20"/>
        </w:rPr>
        <w:t xml:space="preserve"> </w:t>
      </w:r>
      <w:r>
        <w:rPr>
          <w:rFonts w:ascii="Arial" w:hAnsi="Arial"/>
          <w:color w:val="000000"/>
          <w:sz w:val="20"/>
        </w:rPr>
        <w:t>million for the six months ended June 30, 2026 and 2025, respectively. RSUs vest over the requisite service period, which generally ranges from four</w:t>
      </w:r>
      <w:r>
        <w:rPr>
          <w:rFonts w:ascii="Times New Roman" w:hAnsi="Times New Roman"/>
          <w:color w:val="000000"/>
          <w:sz w:val="20"/>
        </w:rPr>
        <w:t xml:space="preserve"> </w:t>
      </w:r>
      <w:r>
        <w:rPr>
          <w:rFonts w:ascii="Arial" w:hAnsi="Arial"/>
          <w:color w:val="000000"/>
          <w:sz w:val="20"/>
        </w:rPr>
        <w:t>to five years</w:t>
      </w:r>
      <w:r>
        <w:rPr>
          <w:rFonts w:ascii="Times New Roman" w:hAnsi="Times New Roman"/>
          <w:color w:val="000000"/>
          <w:sz w:val="20"/>
        </w:rPr>
        <w:t xml:space="preserve"> </w:t>
      </w:r>
      <w:r>
        <w:rPr>
          <w:rFonts w:ascii="Arial" w:hAnsi="Arial"/>
          <w:color w:val="000000"/>
          <w:sz w:val="20"/>
        </w:rPr>
        <w:t>from the date of grant for employees and one year (historically ranging from one to three years for awards vested prior to 2026) for directors, subject to continued employment for employees and provision of services for non-employees. The aggregate fair value of RSUs vested during the three months ended June 30, 2026 and 2025 was $5.6</w:t>
      </w:r>
      <w:r>
        <w:rPr>
          <w:rFonts w:ascii="Times New Roman" w:hAnsi="Times New Roman"/>
          <w:color w:val="000000"/>
          <w:sz w:val="20"/>
        </w:rPr>
        <w:t xml:space="preserve"> </w:t>
      </w:r>
      <w:r>
        <w:rPr>
          <w:rFonts w:ascii="Arial" w:hAnsi="Arial"/>
          <w:color w:val="000000"/>
          <w:sz w:val="20"/>
        </w:rPr>
        <w:t>million and $5.9</w:t>
      </w:r>
      <w:r>
        <w:rPr>
          <w:rFonts w:ascii="Times New Roman" w:hAnsi="Times New Roman"/>
          <w:color w:val="000000"/>
          <w:sz w:val="20"/>
        </w:rPr>
        <w:t xml:space="preserve"> </w:t>
      </w:r>
      <w:r>
        <w:rPr>
          <w:rFonts w:ascii="Arial" w:hAnsi="Arial"/>
          <w:color w:val="000000"/>
          <w:sz w:val="20"/>
        </w:rPr>
        <w:t>million, respectively, and $13.8</w:t>
      </w:r>
      <w:r>
        <w:rPr>
          <w:rFonts w:ascii="Times New Roman" w:hAnsi="Times New Roman"/>
          <w:color w:val="000000"/>
          <w:sz w:val="20"/>
        </w:rPr>
        <w:t xml:space="preserve"> </w:t>
      </w:r>
      <w:r>
        <w:rPr>
          <w:rFonts w:ascii="Arial" w:hAnsi="Arial"/>
          <w:color w:val="000000"/>
          <w:sz w:val="20"/>
        </w:rPr>
        <w:t>million and $15.2</w:t>
      </w:r>
      <w:r>
        <w:rPr>
          <w:rFonts w:ascii="Times New Roman" w:hAnsi="Times New Roman"/>
          <w:color w:val="000000"/>
          <w:sz w:val="20"/>
        </w:rPr>
        <w:t xml:space="preserve"> </w:t>
      </w:r>
      <w:r>
        <w:rPr>
          <w:rFonts w:ascii="Arial" w:hAnsi="Arial"/>
          <w:color w:val="000000"/>
          <w:sz w:val="20"/>
        </w:rPr>
        <w:t>million for the six months ended June 30, 2026 and 2025, respectively.</w:t>
      </w:r>
    </w:p>
    <w:p>
      <w:pPr>
        <w:pStyle w:val="TextBody"/>
        <w:bidi w:val="0"/>
        <w:spacing w:before="120" w:after="283"/>
        <w:jc w:val="both"/>
        <w:rPr>
          <w:rFonts w:ascii="Times New Roman" w:hAnsi="Times New Roman"/>
          <w:sz w:val="20"/>
        </w:rPr>
      </w:pPr>
      <w:r>
        <w:rPr>
          <w:rFonts w:ascii="Arial" w:hAnsi="Arial"/>
          <w:color w:val="000000"/>
          <w:sz w:val="20"/>
        </w:rPr>
        <w:t>At June 30, 2026, there was $81.2</w:t>
      </w:r>
      <w:r>
        <w:rPr>
          <w:rFonts w:ascii="Times New Roman" w:hAnsi="Times New Roman"/>
          <w:color w:val="000000"/>
          <w:sz w:val="20"/>
        </w:rPr>
        <w:t xml:space="preserve"> </w:t>
      </w:r>
      <w:r>
        <w:rPr>
          <w:rFonts w:ascii="Arial" w:hAnsi="Arial"/>
          <w:color w:val="000000"/>
          <w:sz w:val="20"/>
        </w:rPr>
        <w:t>million of total unrecognized compensation cost related to unvested RSUs granted under the 2021 Plan, which is expected to be recognized over a remaining weighted-average period of 3.7 years.</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Arial" w:hAnsi="Arial"/>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Stock-based compensation expense included in the condensed consolidated statements of operations was as follows (in thousands):</w:t>
      </w:r>
    </w:p>
    <w:tbl>
      <w:tblPr>
        <w:tblW w:w="7544" w:type="dxa"/>
        <w:jc w:val="left"/>
        <w:tblInd w:w="0" w:type="dxa"/>
        <w:tblLayout w:type="fixed"/>
        <w:tblCellMar>
          <w:top w:w="28" w:type="dxa"/>
          <w:left w:w="28" w:type="dxa"/>
          <w:bottom w:w="28" w:type="dxa"/>
          <w:right w:w="28" w:type="dxa"/>
        </w:tblCellMar>
      </w:tblPr>
      <w:tblGrid>
        <w:gridCol w:w="3096"/>
        <w:gridCol w:w="254"/>
        <w:gridCol w:w="707"/>
        <w:gridCol w:w="176"/>
        <w:gridCol w:w="254"/>
        <w:gridCol w:w="707"/>
        <w:gridCol w:w="146"/>
        <w:gridCol w:w="214"/>
        <w:gridCol w:w="702"/>
        <w:gridCol w:w="148"/>
        <w:gridCol w:w="214"/>
        <w:gridCol w:w="595"/>
        <w:gridCol w:w="331"/>
      </w:tblGrid>
      <w:tr>
        <w:trPr/>
        <w:tc>
          <w:tcPr>
            <w:tcW w:w="309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3,395</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7,117</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stock-based compensation</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6,748</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12,722</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left"/>
        <w:rPr>
          <w:rFonts w:ascii="Arial" w:hAnsi="Arial"/>
          <w:b/>
          <w:color w:val="000000"/>
          <w:sz w:val="20"/>
        </w:rPr>
      </w:pPr>
      <w:r>
        <w:rPr>
          <w:rFonts w:ascii="Arial" w:hAnsi="Arial"/>
          <w:b/>
          <w:color w:val="000000"/>
          <w:sz w:val="20"/>
        </w:rPr>
        <w:t>11. Income Taxes</w:t>
      </w:r>
    </w:p>
    <w:p>
      <w:pPr>
        <w:pStyle w:val="TextBody"/>
        <w:bidi w:val="0"/>
        <w:spacing w:before="120" w:after="283"/>
        <w:jc w:val="both"/>
        <w:rPr>
          <w:rFonts w:ascii="Times New Roman" w:hAnsi="Times New Roman"/>
          <w:sz w:val="20"/>
        </w:rPr>
      </w:pPr>
      <w:r>
        <w:rPr>
          <w:rFonts w:ascii="Arial" w:hAnsi="Arial"/>
          <w:color w:val="000000"/>
          <w:sz w:val="20"/>
        </w:rPr>
        <w:t>The Company computes its tax provision for the three and six months ended June 30, 2026 by applying the estimated annual effective tax rate to year-to-date income from recurring operations and adjusting for discrete items arising in that quarter.</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The Company’s effective tax rate is as follows:</w:t>
      </w:r>
    </w:p>
    <w:tbl>
      <w:tblPr>
        <w:tblW w:w="5933" w:type="dxa"/>
        <w:jc w:val="left"/>
        <w:tblInd w:w="0" w:type="dxa"/>
        <w:tblLayout w:type="fixed"/>
        <w:tblCellMar>
          <w:top w:w="28" w:type="dxa"/>
          <w:left w:w="28" w:type="dxa"/>
          <w:bottom w:w="28" w:type="dxa"/>
          <w:right w:w="28" w:type="dxa"/>
        </w:tblCellMar>
      </w:tblPr>
      <w:tblGrid>
        <w:gridCol w:w="1621"/>
        <w:gridCol w:w="146"/>
        <w:gridCol w:w="1050"/>
        <w:gridCol w:w="1050"/>
        <w:gridCol w:w="146"/>
        <w:gridCol w:w="928"/>
        <w:gridCol w:w="992"/>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r>
    </w:tbl>
    <w:p>
      <w:pPr>
        <w:pStyle w:val="TextBody"/>
        <w:bidi w:val="0"/>
        <w:spacing w:before="120" w:after="283"/>
        <w:jc w:val="both"/>
        <w:rPr>
          <w:rFonts w:ascii="Arial" w:hAnsi="Arial"/>
          <w:color w:val="000000"/>
          <w:sz w:val="20"/>
        </w:rPr>
      </w:pPr>
      <w:r>
        <w:rPr>
          <w:rFonts w:ascii="Arial" w:hAnsi="Arial"/>
          <w:color w:val="000000"/>
          <w:sz w:val="20"/>
        </w:rPr>
        <w:t>The Company's effective tax rates for the three and six months ended June 30, 2026 were primarily impacted by permanent differences for disallowed compensation pursuant to Internal Revenue Code ("IRC") Section 162(m), state taxes, and U.S. research and development ("R&amp;D") credit claims. For the comparable periods in 2025, the effective tax rates were primarily impacted by permanent differences for disallowed stock-based compensation pursuant to IRC Section 162(m), state taxes, discrete benefits for excess tax benefits on stock-based compensation, and prior year Canadian R&amp;D credit claims.</w:t>
      </w:r>
    </w:p>
    <w:p>
      <w:pPr>
        <w:pStyle w:val="TextBody"/>
        <w:bidi w:val="0"/>
        <w:spacing w:before="120" w:after="283"/>
        <w:jc w:val="both"/>
        <w:rPr>
          <w:rFonts w:ascii="Arial" w:hAnsi="Arial"/>
          <w:color w:val="000000"/>
          <w:sz w:val="20"/>
        </w:rPr>
      </w:pPr>
      <w:r>
        <w:rPr>
          <w:rFonts w:ascii="Arial" w:hAnsi="Arial"/>
          <w:color w:val="000000"/>
          <w:sz w:val="20"/>
        </w:rPr>
        <w:t>The Company forecasts an estimated effective tax rate in 2026, exclusive of discrete benefits, of 28.5%, which primarily differs from the U.S. federal statutory rate due to state taxes, permanent differences on nondeductible compensation, and Canadian and U.S. R&amp;D credit claims.</w:t>
      </w:r>
    </w:p>
    <w:p>
      <w:pPr>
        <w:pStyle w:val="TextBody"/>
        <w:bidi w:val="0"/>
        <w:spacing w:before="120" w:after="283"/>
        <w:jc w:val="left"/>
        <w:rPr>
          <w:rFonts w:ascii="Arial" w:hAnsi="Arial"/>
          <w:b/>
          <w:color w:val="000000"/>
          <w:sz w:val="20"/>
        </w:rPr>
      </w:pPr>
      <w:r>
        <w:rPr>
          <w:rFonts w:ascii="Arial" w:hAnsi="Arial"/>
          <w:b/>
          <w:color w:val="000000"/>
          <w:sz w:val="20"/>
        </w:rPr>
        <w:t>12. Net Income per Share Attributable to Common Stock</w:t>
      </w:r>
    </w:p>
    <w:p>
      <w:pPr>
        <w:pStyle w:val="TextBody"/>
        <w:bidi w:val="0"/>
        <w:spacing w:before="120" w:after="283"/>
        <w:jc w:val="both"/>
        <w:rPr>
          <w:rFonts w:ascii="Arial" w:hAnsi="Arial"/>
          <w:color w:val="000000"/>
          <w:sz w:val="20"/>
        </w:rPr>
      </w:pPr>
      <w:r>
        <w:rPr>
          <w:rFonts w:ascii="Arial" w:hAnsi="Arial"/>
          <w:color w:val="000000"/>
          <w:sz w:val="20"/>
        </w:rPr>
        <w:t>Basic net income per share attributable to common stock is computed by dividing net income for the period by the weighted average number of common shares outstanding during the period.</w:t>
      </w:r>
    </w:p>
    <w:p>
      <w:pPr>
        <w:pStyle w:val="TextBody"/>
        <w:bidi w:val="0"/>
        <w:spacing w:before="120" w:after="283"/>
        <w:jc w:val="both"/>
        <w:rPr>
          <w:rFonts w:ascii="Times New Roman" w:hAnsi="Times New Roman"/>
          <w:sz w:val="20"/>
        </w:rPr>
      </w:pPr>
      <w:r>
        <w:rPr>
          <w:rFonts w:ascii="Arial" w:hAnsi="Arial"/>
          <w:color w:val="000000"/>
          <w:sz w:val="20"/>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pStyle w:val="TextBody"/>
        <w:bidi w:val="0"/>
        <w:spacing w:before="12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The following table sets forth the computation of basic and diluted net income per share attributable to common stock (in thousands except share and per share data):</w:t>
      </w:r>
    </w:p>
    <w:tbl>
      <w:tblPr>
        <w:tblW w:w="10205" w:type="dxa"/>
        <w:jc w:val="left"/>
        <w:tblInd w:w="0" w:type="dxa"/>
        <w:tblLayout w:type="fixed"/>
        <w:tblCellMar>
          <w:top w:w="28" w:type="dxa"/>
          <w:left w:w="28" w:type="dxa"/>
          <w:bottom w:w="28" w:type="dxa"/>
          <w:right w:w="28" w:type="dxa"/>
        </w:tblCellMar>
      </w:tblPr>
      <w:tblGrid>
        <w:gridCol w:w="3062"/>
        <w:gridCol w:w="566"/>
        <w:gridCol w:w="211"/>
        <w:gridCol w:w="1171"/>
        <w:gridCol w:w="146"/>
        <w:gridCol w:w="211"/>
        <w:gridCol w:w="1171"/>
        <w:gridCol w:w="146"/>
        <w:gridCol w:w="211"/>
        <w:gridCol w:w="1171"/>
        <w:gridCol w:w="146"/>
        <w:gridCol w:w="211"/>
        <w:gridCol w:w="1171"/>
        <w:gridCol w:w="611"/>
      </w:tblGrid>
      <w:tr>
        <w:trPr/>
        <w:tc>
          <w:tcPr>
            <w:tcW w:w="30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Weighted-average shares of common stock — basic</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125,861,225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125,077,964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125,763,761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125,066,334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Dilutive effect of stock options</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2,229,774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2,584,773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2,271,522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2,551,462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Dilutive effect of RSUs</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1,018,724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Dilutive effect of warrants</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331,287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Weighted-average shares of common stock — diluted</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129,005,011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129,030,539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129,049,030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128,967,807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per share</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6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000000"/>
          <w:sz w:val="20"/>
        </w:rPr>
      </w:pPr>
      <w:r>
        <w:rPr>
          <w:rFonts w:ascii="Arial" w:hAnsi="Arial"/>
          <w:color w:val="000000"/>
          <w:sz w:val="20"/>
        </w:rPr>
        <w:t>The following table summarizes the weighted-average number of securities that were excluded from the computation of diluted net income per share attributable to common stock as their inclusion would have been antidilutive:</w:t>
      </w:r>
    </w:p>
    <w:tbl>
      <w:tblPr>
        <w:tblW w:w="5198" w:type="dxa"/>
        <w:jc w:val="left"/>
        <w:tblInd w:w="0" w:type="dxa"/>
        <w:tblLayout w:type="fixed"/>
        <w:tblCellMar>
          <w:top w:w="28" w:type="dxa"/>
          <w:left w:w="28" w:type="dxa"/>
          <w:bottom w:w="28" w:type="dxa"/>
          <w:right w:w="28" w:type="dxa"/>
        </w:tblCellMar>
      </w:tblPr>
      <w:tblGrid>
        <w:gridCol w:w="631"/>
        <w:gridCol w:w="146"/>
        <w:gridCol w:w="154"/>
        <w:gridCol w:w="1017"/>
        <w:gridCol w:w="154"/>
        <w:gridCol w:w="154"/>
        <w:gridCol w:w="620"/>
        <w:gridCol w:w="146"/>
        <w:gridCol w:w="146"/>
        <w:gridCol w:w="961"/>
        <w:gridCol w:w="146"/>
        <w:gridCol w:w="146"/>
        <w:gridCol w:w="586"/>
        <w:gridCol w:w="19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2,134,322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20"/>
        </w:rPr>
      </w:pPr>
      <w:bookmarkStart w:id="13" w:name="item_2_managements_discussion"/>
      <w:bookmarkEnd w:id="13"/>
      <w:r>
        <w:rPr>
          <w:rFonts w:ascii="Arial" w:hAnsi="Arial"/>
          <w:b/>
          <w:color w:val="000000"/>
          <w:sz w:val="20"/>
        </w:rPr>
        <w:t>Item 2. Management’s Discussion and Analysis of Financial Condition and Results of Operations</w:t>
      </w:r>
    </w:p>
    <w:p>
      <w:pPr>
        <w:pStyle w:val="TextBody"/>
        <w:bidi w:val="0"/>
        <w:spacing w:before="12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As a leading provider of cloud-based bill payment technology and solutions, we deliver our next-generation product suite through a modern technology stack to a broad and diverse base of business and financial institution clients. Our platform was used by approximately 53 million consumers and businesses globally in December 2025 to pay their bills, move money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business-to-business (B2B)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pStyle w:val="TextBody"/>
        <w:bidi w:val="0"/>
        <w:spacing w:before="120" w:after="283"/>
        <w:jc w:val="both"/>
        <w:rPr>
          <w:rFonts w:ascii="Arial" w:hAnsi="Arial"/>
          <w:color w:val="000000"/>
          <w:sz w:val="20"/>
        </w:rPr>
      </w:pPr>
      <w:r>
        <w:rPr>
          <w:rFonts w:ascii="Arial" w:hAnsi="Arial"/>
          <w:color w:val="000000"/>
          <w:sz w:val="20"/>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pStyle w:val="TextBody"/>
        <w:bidi w:val="0"/>
        <w:spacing w:before="120" w:after="120"/>
        <w:jc w:val="both"/>
        <w:rPr>
          <w:rFonts w:ascii="Times New Roman" w:hAnsi="Times New Roman"/>
          <w:sz w:val="20"/>
        </w:rPr>
      </w:pPr>
      <w:r>
        <w:rPr>
          <w:rFonts w:ascii="Arial" w:hAnsi="Arial"/>
          <w:b/>
          <w:color w:val="000000"/>
          <w:sz w:val="20"/>
        </w:rPr>
        <w:t>Transactions Processed</w:t>
      </w:r>
      <w:r>
        <w:rPr>
          <w:rFonts w:ascii="Times New Roman" w:hAnsi="Times New Roman"/>
          <w:color w:val="000000"/>
          <w:sz w:val="20"/>
        </w:rPr>
        <w:t xml:space="preserve"> </w:t>
      </w:r>
    </w:p>
    <w:tbl>
      <w:tblPr>
        <w:tblW w:w="8849" w:type="dxa"/>
        <w:jc w:val="left"/>
        <w:tblInd w:w="0" w:type="dxa"/>
        <w:tblLayout w:type="fixed"/>
        <w:tblCellMar>
          <w:top w:w="28" w:type="dxa"/>
          <w:left w:w="28" w:type="dxa"/>
          <w:bottom w:w="28" w:type="dxa"/>
          <w:right w:w="28" w:type="dxa"/>
        </w:tblCellMar>
      </w:tblPr>
      <w:tblGrid>
        <w:gridCol w:w="2206"/>
        <w:gridCol w:w="190"/>
        <w:gridCol w:w="764"/>
        <w:gridCol w:w="190"/>
        <w:gridCol w:w="190"/>
        <w:gridCol w:w="764"/>
        <w:gridCol w:w="146"/>
        <w:gridCol w:w="1021"/>
        <w:gridCol w:w="146"/>
        <w:gridCol w:w="170"/>
        <w:gridCol w:w="682"/>
        <w:gridCol w:w="170"/>
        <w:gridCol w:w="170"/>
        <w:gridCol w:w="682"/>
        <w:gridCol w:w="146"/>
        <w:gridCol w:w="102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Growth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Growth</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Transactions processed</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We define transactions processed as the number of revenue generating payment transactions, such as checks, credit card and debit card transactions, automated clearing house (ACH) items and emerging payment types, which are initiated and generally processed through our platform during a period. The number of transactions also includes account-to-account and person-to-person transfers. The increase in number of transactions processed during the three and six months ended June 30, 2026 as compared to the same periods in 2025 was primarily driven by new biller implementations and increased transactions from both new and existing billers.</w:t>
      </w:r>
    </w:p>
    <w:p>
      <w:pPr>
        <w:pStyle w:val="TextBody"/>
        <w:bidi w:val="0"/>
        <w:spacing w:before="120" w:after="283"/>
        <w:jc w:val="both"/>
        <w:rPr>
          <w:rFonts w:ascii="Arial" w:hAnsi="Arial"/>
          <w:b/>
          <w:color w:val="000000"/>
          <w:sz w:val="20"/>
        </w:rPr>
      </w:pPr>
      <w:r>
        <w:rPr>
          <w:rFonts w:ascii="Arial" w:hAnsi="Arial"/>
          <w:b/>
          <w:color w:val="000000"/>
          <w:sz w:val="20"/>
        </w:rPr>
        <w:t>Other Key Factors and Trends Affecting Our Operating Results</w:t>
      </w:r>
    </w:p>
    <w:p>
      <w:pPr>
        <w:pStyle w:val="TextBody"/>
        <w:bidi w:val="0"/>
        <w:spacing w:before="120" w:after="283"/>
        <w:jc w:val="both"/>
        <w:rPr>
          <w:rFonts w:ascii="Arial" w:hAnsi="Arial"/>
          <w:color w:val="000000"/>
          <w:sz w:val="20"/>
        </w:rPr>
      </w:pPr>
      <w:r>
        <w:rPr>
          <w:rFonts w:ascii="Arial" w:hAnsi="Arial"/>
          <w:color w:val="000000"/>
          <w:sz w:val="20"/>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the 2025 Form 10-K.</w:t>
      </w:r>
    </w:p>
    <w:p>
      <w:pPr>
        <w:pStyle w:val="TextBody"/>
        <w:bidi w:val="0"/>
        <w:spacing w:before="120" w:after="283"/>
        <w:jc w:val="both"/>
        <w:rPr>
          <w:rFonts w:ascii="Arial" w:hAnsi="Arial"/>
          <w:i/>
          <w:color w:val="000000"/>
          <w:sz w:val="20"/>
        </w:rPr>
      </w:pPr>
      <w:r>
        <w:rPr>
          <w:rFonts w:ascii="Arial" w:hAnsi="Arial"/>
          <w:i/>
          <w:color w:val="000000"/>
          <w:sz w:val="20"/>
        </w:rPr>
        <w:t>Impact of Economic and Inflationary Trends</w:t>
      </w:r>
    </w:p>
    <w:p>
      <w:pPr>
        <w:pStyle w:val="TextBody"/>
        <w:bidi w:val="0"/>
        <w:spacing w:before="120" w:after="283"/>
        <w:jc w:val="both"/>
        <w:rPr>
          <w:rFonts w:ascii="Arial" w:hAnsi="Arial"/>
          <w:color w:val="000000"/>
          <w:sz w:val="20"/>
        </w:rPr>
      </w:pPr>
      <w:r>
        <w:rPr>
          <w:rFonts w:ascii="Arial" w:hAnsi="Arial"/>
          <w:color w:val="000000"/>
          <w:sz w:val="20"/>
        </w:rPr>
        <w:t>We continued to operate in an environment of elevated macroeconomic uncertainty during the second quarter of 2026. Although inflation has moderated from prior periods, our cost structure and consumer spending patterns remain impacted by persistent pricing pressures, impending tariffs, and evolving trade policies. Furthermore, heightened geopolitical instability, particularly the ongoing conflict in Iran, has exacerbated volatility in global energy markets. Broader uncertainties relating to interest rate trajectories and these geopolitical tensions continue to affect our overall operating environment.</w:t>
      </w:r>
    </w:p>
    <w:p>
      <w:pPr>
        <w:pStyle w:val="TextBody"/>
        <w:bidi w:val="0"/>
        <w:spacing w:before="120" w:after="283"/>
        <w:jc w:val="both"/>
        <w:rPr>
          <w:rFonts w:ascii="Arial" w:hAnsi="Arial"/>
          <w:color w:val="000000"/>
          <w:sz w:val="20"/>
        </w:rPr>
      </w:pPr>
      <w:r>
        <w:rPr>
          <w:rFonts w:ascii="Arial" w:hAnsi="Arial"/>
          <w:color w:val="000000"/>
          <w:sz w:val="20"/>
        </w:rPr>
        <w:t>Inflationary conditions and energy market volatility could indirectly affect our business by driving up customer bills, particularly within the utility sector, while also contributing to higher operating costs across the broader economy. Rapid increases in energy prices may place additional pressure on household budgets, potentially increasing delinquency rates or altering historical payment timing patterns.</w:t>
      </w:r>
    </w:p>
    <w:p>
      <w:pPr>
        <w:pStyle w:val="TextBody"/>
        <w:bidi w:val="0"/>
        <w:spacing w:before="120" w:after="283"/>
        <w:jc w:val="both"/>
        <w:rPr>
          <w:rFonts w:ascii="Arial" w:hAnsi="Arial"/>
          <w:color w:val="000000"/>
          <w:sz w:val="20"/>
        </w:rPr>
      </w:pPr>
      <w:r>
        <w:rPr>
          <w:rFonts w:ascii="Arial" w:hAnsi="Arial"/>
          <w:color w:val="000000"/>
          <w:sz w:val="20"/>
        </w:rPr>
        <w:t>These conditions may influence consumer payment behaviors in countervailing ways. Consumers experiencing financial strain may elect to defer payments, shift to lower-cost payment methods, or make partial, more frequent payments. While payment deferrals and the adoption of lower-cost methods could reduce our average revenue per transaction and overall payment volume, an increase in partial payment activity could simultaneously drive higher aggregate transaction counts.</w:t>
      </w:r>
    </w:p>
    <w:p>
      <w:pPr>
        <w:pStyle w:val="TextBody"/>
        <w:bidi w:val="0"/>
        <w:spacing w:before="12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This shifting dynamic may create a compounding effect on our unit economics. Any corresponding increase in transaction volumes driven by partial payments could trigger a proportional rise in our interchange, network, and processing fees. Because these elevated costs of revenue may offset the potential top-line gains from higher transaction counts, this cycle could frequently result in flat net revenue growth. We may be unable to fully offset these interrelated pressures through pricing actions, as such adjustments typically lag behind the immediate impact of rising network and operating costs. Consequently, an inability to mitigate these pressures in real-time may continue to adversely affect our margins, operating results, and overall financial condition.</w:t>
      </w:r>
    </w:p>
    <w:p>
      <w:pPr>
        <w:pStyle w:val="TextBody"/>
        <w:bidi w:val="0"/>
        <w:spacing w:before="120" w:after="283"/>
        <w:jc w:val="both"/>
        <w:rPr>
          <w:rFonts w:ascii="Arial" w:hAnsi="Arial"/>
          <w:color w:val="000000"/>
          <w:sz w:val="20"/>
        </w:rPr>
      </w:pPr>
      <w:r>
        <w:rPr>
          <w:rFonts w:ascii="Arial" w:hAnsi="Arial"/>
          <w:color w:val="000000"/>
          <w:sz w:val="20"/>
        </w:rPr>
        <w:t>Beyond external economic pressures, our ability to scale efficiently depends on our capacity to quickly recruit, train and retain a high-performing workforce. We continue to offer competitive compensation and invest in employee well-being to attract and retain a high-performing workforce that enables us to meet the expanding needs of our customers and support our long-term growth objectives. While employee-related costs naturally fluctuate, they have trended upward in tandem with our business expansion, and we expect this trajectory to continue as we scale our operations.</w:t>
      </w:r>
    </w:p>
    <w:p>
      <w:pPr>
        <w:pStyle w:val="TextBody"/>
        <w:bidi w:val="0"/>
        <w:spacing w:before="120" w:after="283"/>
        <w:jc w:val="left"/>
        <w:rPr>
          <w:rFonts w:ascii="Arial" w:hAnsi="Arial"/>
          <w:b/>
          <w:color w:val="000000"/>
          <w:sz w:val="20"/>
        </w:rPr>
      </w:pPr>
      <w:r>
        <w:rPr>
          <w:rFonts w:ascii="Arial" w:hAnsi="Arial"/>
          <w:b/>
          <w:color w:val="000000"/>
          <w:sz w:val="20"/>
        </w:rPr>
        <w:t>Non-GAAP Measures</w:t>
      </w:r>
    </w:p>
    <w:p>
      <w:pPr>
        <w:pStyle w:val="TextBody"/>
        <w:bidi w:val="0"/>
        <w:spacing w:before="120" w:after="283"/>
        <w:jc w:val="both"/>
        <w:rPr>
          <w:rFonts w:ascii="Times New Roman" w:hAnsi="Times New Roman"/>
          <w:sz w:val="20"/>
        </w:rPr>
      </w:pPr>
      <w:r>
        <w:rPr>
          <w:rFonts w:ascii="Arial" w:hAnsi="Arial"/>
          <w:color w:val="000000"/>
          <w:sz w:val="20"/>
        </w:rPr>
        <w:t>We use supplemental measures of our performance that are derived from our consolidated financial information but which are not presented in our condensed consolidated financial statements prepared in accordance with U.S. generally accepted accounting principles, or GAAP. These supplemental non-GAAP measures include contribution profit, adjusted gross profit, adjusted EBITDA and free cash flow.</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Contribution Profit</w:t>
      </w:r>
    </w:p>
    <w:p>
      <w:pPr>
        <w:pStyle w:val="TextBody"/>
        <w:bidi w:val="0"/>
        <w:spacing w:before="120" w:after="283"/>
        <w:jc w:val="both"/>
        <w:rPr>
          <w:rFonts w:ascii="Arial" w:hAnsi="Arial"/>
          <w:color w:val="000000"/>
          <w:sz w:val="20"/>
        </w:rPr>
      </w:pPr>
      <w:r>
        <w:rPr>
          <w:rFonts w:ascii="Arial" w:hAnsi="Arial"/>
          <w:color w:val="000000"/>
          <w:sz w:val="20"/>
        </w:rPr>
        <w:t>We calculate contribution profit as gross profit plus other cost of revenue. Other cost of revenue equals cost of revenue less interchange, assessment and other network fees paid by us to our payment processors.</w:t>
      </w:r>
    </w:p>
    <w:p>
      <w:pPr>
        <w:pStyle w:val="TextBody"/>
        <w:bidi w:val="0"/>
        <w:spacing w:before="120" w:after="283"/>
        <w:jc w:val="both"/>
        <w:rPr>
          <w:rFonts w:ascii="Times New Roman" w:hAnsi="Times New Roman"/>
          <w:sz w:val="20"/>
        </w:rPr>
      </w:pPr>
      <w:r>
        <w:rPr>
          <w:rFonts w:ascii="Arial" w:hAnsi="Arial"/>
          <w:i/>
          <w:color w:val="000000"/>
          <w:sz w:val="20"/>
        </w:rPr>
        <w:t>Adjusted Gross Profit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calculate adjusted gross profit as gross profit adjusted for non-cash items, primarily stock-based compensation and amortization of acquisition-related intangible assets and capitalized software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Adjusted EBITDA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calculate adjusted EBITDA as net income before interest income (expense), net, other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Free Cash Flow</w:t>
      </w:r>
    </w:p>
    <w:p>
      <w:pPr>
        <w:pStyle w:val="TextBody"/>
        <w:bidi w:val="0"/>
        <w:spacing w:before="120" w:after="283"/>
        <w:jc w:val="both"/>
        <w:rPr>
          <w:rFonts w:ascii="Arial" w:hAnsi="Arial"/>
          <w:color w:val="000000"/>
          <w:sz w:val="20"/>
        </w:rPr>
      </w:pPr>
      <w:r>
        <w:rPr>
          <w:rFonts w:ascii="Arial" w:hAnsi="Arial"/>
          <w:color w:val="000000"/>
          <w:sz w:val="20"/>
        </w:rPr>
        <w:t>We calculate free cash flow as net cash provided by (used in) operating activities less capital expenditures, other intangible assets acquired, and capitalized internal-use software development costs.</w:t>
      </w:r>
    </w:p>
    <w:p>
      <w:pPr>
        <w:pStyle w:val="TextBody"/>
        <w:bidi w:val="0"/>
        <w:spacing w:before="120" w:after="283"/>
        <w:jc w:val="both"/>
        <w:rPr>
          <w:rFonts w:ascii="Arial" w:hAnsi="Arial"/>
          <w:i/>
          <w:color w:val="000000"/>
          <w:sz w:val="20"/>
        </w:rPr>
      </w:pPr>
      <w:r>
        <w:rPr>
          <w:rFonts w:ascii="Arial" w:hAnsi="Arial"/>
          <w:i/>
          <w:color w:val="000000"/>
          <w:sz w:val="20"/>
        </w:rPr>
        <w:t>How we use Non-GAAP Measures</w:t>
      </w:r>
    </w:p>
    <w:p>
      <w:pPr>
        <w:pStyle w:val="TextBody"/>
        <w:bidi w:val="0"/>
        <w:spacing w:before="120" w:after="283"/>
        <w:jc w:val="both"/>
        <w:rPr>
          <w:rFonts w:ascii="Arial" w:hAnsi="Arial"/>
          <w:color w:val="000000"/>
          <w:sz w:val="20"/>
        </w:rPr>
      </w:pPr>
      <w:r>
        <w:rPr>
          <w:rFonts w:ascii="Arial" w:hAnsi="Arial"/>
          <w:color w:val="000000"/>
          <w:sz w:val="20"/>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assessment and other network fees in the presentation of contribution profit because we believe inclusion is less directly reflective of our operating performance as we do not control the payment channel used by consumers, which is the primary determinant of the amount of interchange, assessment and other network fees. We use contribution profit to measure the amount available to fund our operations after interchange, assessment and other network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pStyle w:val="TextBody"/>
        <w:bidi w:val="0"/>
        <w:spacing w:before="120" w:after="283"/>
        <w:jc w:val="both"/>
        <w:rPr>
          <w:rFonts w:ascii="Times New Roman" w:hAnsi="Times New Roman"/>
          <w:sz w:val="20"/>
        </w:rPr>
      </w:pPr>
      <w:r>
        <w:rPr>
          <w:rFonts w:ascii="Arial" w:hAnsi="Arial"/>
          <w:color w:val="000000"/>
          <w:sz w:val="20"/>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i/>
          <w:color w:val="000000"/>
          <w:sz w:val="20"/>
        </w:rPr>
      </w:pPr>
      <w:r>
        <w:rPr>
          <w:rFonts w:ascii="Arial" w:hAnsi="Arial"/>
          <w:i/>
          <w:color w:val="000000"/>
          <w:sz w:val="20"/>
        </w:rPr>
        <w:t>Contribution Profit</w:t>
      </w:r>
    </w:p>
    <w:tbl>
      <w:tblPr>
        <w:tblW w:w="7351" w:type="dxa"/>
        <w:jc w:val="left"/>
        <w:tblInd w:w="0" w:type="dxa"/>
        <w:tblLayout w:type="fixed"/>
        <w:tblCellMar>
          <w:top w:w="28" w:type="dxa"/>
          <w:left w:w="28" w:type="dxa"/>
          <w:bottom w:w="28" w:type="dxa"/>
          <w:right w:w="28" w:type="dxa"/>
        </w:tblCellMar>
      </w:tblPr>
      <w:tblGrid>
        <w:gridCol w:w="2616"/>
        <w:gridCol w:w="215"/>
        <w:gridCol w:w="813"/>
        <w:gridCol w:w="149"/>
        <w:gridCol w:w="215"/>
        <w:gridCol w:w="706"/>
        <w:gridCol w:w="146"/>
        <w:gridCol w:w="211"/>
        <w:gridCol w:w="796"/>
        <w:gridCol w:w="146"/>
        <w:gridCol w:w="211"/>
        <w:gridCol w:w="796"/>
        <w:gridCol w:w="331"/>
      </w:tblGrid>
      <w:tr>
        <w:trPr/>
        <w:tc>
          <w:tcPr>
            <w:tcW w:w="26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4"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Gross profit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94,311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137,501</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Plus: other cost of revenue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23,787</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43,669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Contribution profit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118,098</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181,170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and six months ended June 30, 2026 increased approximately 26.3% and 25.7%, as compared to the same periods in 2025. The increase was driven by growth in transaction count and volume driven from both new and existing billers and financial institutions.</w:t>
      </w:r>
    </w:p>
    <w:p>
      <w:pPr>
        <w:pStyle w:val="TextBody"/>
        <w:bidi w:val="0"/>
        <w:spacing w:before="120" w:after="120"/>
        <w:jc w:val="left"/>
        <w:rPr>
          <w:rFonts w:ascii="Times New Roman" w:hAnsi="Times New Roman"/>
          <w:sz w:val="20"/>
        </w:rPr>
      </w:pPr>
      <w:r>
        <w:rPr>
          <w:rFonts w:ascii="Arial" w:hAnsi="Arial"/>
          <w:i/>
          <w:color w:val="000000"/>
          <w:sz w:val="20"/>
        </w:rPr>
        <w:t>Adjusted Gross Profit</w:t>
      </w:r>
      <w:r>
        <w:rPr>
          <w:rFonts w:ascii="Times New Roman" w:hAnsi="Times New Roman"/>
          <w:color w:val="000000"/>
          <w:sz w:val="20"/>
        </w:rPr>
        <w:t xml:space="preserve"> </w:t>
      </w:r>
    </w:p>
    <w:tbl>
      <w:tblPr>
        <w:tblW w:w="9811" w:type="dxa"/>
        <w:jc w:val="left"/>
        <w:tblInd w:w="0" w:type="dxa"/>
        <w:tblLayout w:type="fixed"/>
        <w:tblCellMar>
          <w:top w:w="28" w:type="dxa"/>
          <w:left w:w="28" w:type="dxa"/>
          <w:bottom w:w="28" w:type="dxa"/>
          <w:right w:w="28" w:type="dxa"/>
        </w:tblCellMar>
      </w:tblPr>
      <w:tblGrid>
        <w:gridCol w:w="5076"/>
        <w:gridCol w:w="215"/>
        <w:gridCol w:w="813"/>
        <w:gridCol w:w="149"/>
        <w:gridCol w:w="215"/>
        <w:gridCol w:w="706"/>
        <w:gridCol w:w="146"/>
        <w:gridCol w:w="211"/>
        <w:gridCol w:w="796"/>
        <w:gridCol w:w="146"/>
        <w:gridCol w:w="211"/>
        <w:gridCol w:w="796"/>
        <w:gridCol w:w="331"/>
      </w:tblGrid>
      <w:tr>
        <w:trPr/>
        <w:tc>
          <w:tcPr>
            <w:tcW w:w="50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4"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Gross profit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94,311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137,501</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Stock-based compensation</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Amortization of capitalized software development costs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5,783</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11,155</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Amortization of acquisition-related intangibles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gross profit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100,179</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150,462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Adjusted gross profit for the three and six months ended June 30, 2026 increased 28.6% and 28.0%, as compared to the same periods in 2025. Adjusted gross profit is driven primarily by the same factors that impact gross profit with the exception of excluding the amortization and stock-based compensation recorded in cost of revenue. Adjusted gross profit improved in line with contribution profit. Adjusted gross profit as a percentage of contribution profit increased due to realization of economies of scale.</w:t>
      </w:r>
    </w:p>
    <w:p>
      <w:pPr>
        <w:pStyle w:val="TextBody"/>
        <w:bidi w:val="0"/>
        <w:spacing w:before="120" w:after="120"/>
        <w:jc w:val="left"/>
        <w:rPr>
          <w:rFonts w:ascii="Arial" w:hAnsi="Arial"/>
          <w:i/>
          <w:color w:val="000000"/>
          <w:sz w:val="20"/>
        </w:rPr>
      </w:pPr>
      <w:r>
        <w:rPr>
          <w:rFonts w:ascii="Arial" w:hAnsi="Arial"/>
          <w:i/>
          <w:color w:val="000000"/>
          <w:sz w:val="20"/>
        </w:rPr>
        <w:t>Adjusted EBITDA</w:t>
      </w:r>
    </w:p>
    <w:tbl>
      <w:tblPr>
        <w:tblW w:w="9662" w:type="dxa"/>
        <w:jc w:val="left"/>
        <w:tblInd w:w="0" w:type="dxa"/>
        <w:tblLayout w:type="fixed"/>
        <w:tblCellMar>
          <w:top w:w="28" w:type="dxa"/>
          <w:left w:w="28" w:type="dxa"/>
          <w:bottom w:w="28" w:type="dxa"/>
          <w:right w:w="28" w:type="dxa"/>
        </w:tblCellMar>
      </w:tblPr>
      <w:tblGrid>
        <w:gridCol w:w="5076"/>
        <w:gridCol w:w="225"/>
        <w:gridCol w:w="736"/>
        <w:gridCol w:w="177"/>
        <w:gridCol w:w="225"/>
        <w:gridCol w:w="736"/>
        <w:gridCol w:w="166"/>
        <w:gridCol w:w="211"/>
        <w:gridCol w:w="691"/>
        <w:gridCol w:w="166"/>
        <w:gridCol w:w="211"/>
        <w:gridCol w:w="691"/>
        <w:gridCol w:w="351"/>
      </w:tblGrid>
      <w:tr>
        <w:trPr/>
        <w:tc>
          <w:tcPr>
            <w:tcW w:w="50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 GAAP</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25,559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28,520</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 net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Provision for income taxes</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7,650</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Amortization of capitalized software development costs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16,615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Amortization of acquisition-related intangibles</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4,267</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Depreciation</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EBITDA</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42,043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52,995</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Foreign exchange loss (gain)</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Stock-based compensation</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48,796</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31,693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91,214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61,667</w:t>
            </w:r>
          </w:p>
        </w:tc>
        <w:tc>
          <w:tcPr>
            <w:tcW w:w="3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Adjusted EBITDA is a measure of profitability and generally is expected to move in line with revenue, contribution profit, gross profit and adjusted gross profit. Adjusted EBITDA increased 54.0% and 47.9% in the three and six months ended June 30, 2026, as compared to the same periods in 2025. The increase was primarily attributable to higher revenues driven by growth in transaction volumes from both new and existing billers and financial institutions. The rate of growth in Adjusted EBITDA exceeded the rate of growth in both contribution profit and adjusted gross profit, reflecting the operating leverage inherent in our business, as certain operating expenses are largely fixed and did not increase in proportion to the growth in revenue.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i/>
          <w:color w:val="000000"/>
          <w:sz w:val="20"/>
        </w:rPr>
      </w:pPr>
      <w:r>
        <w:rPr>
          <w:rFonts w:ascii="Arial" w:hAnsi="Arial"/>
          <w:i/>
          <w:color w:val="000000"/>
          <w:sz w:val="20"/>
        </w:rPr>
        <w:t>Free Cash Flow</w:t>
      </w:r>
    </w:p>
    <w:tbl>
      <w:tblPr>
        <w:tblW w:w="9497" w:type="dxa"/>
        <w:jc w:val="left"/>
        <w:tblInd w:w="0" w:type="dxa"/>
        <w:tblLayout w:type="fixed"/>
        <w:tblCellMar>
          <w:top w:w="28" w:type="dxa"/>
          <w:left w:w="28" w:type="dxa"/>
          <w:bottom w:w="28" w:type="dxa"/>
          <w:right w:w="28" w:type="dxa"/>
        </w:tblCellMar>
      </w:tblPr>
      <w:tblGrid>
        <w:gridCol w:w="4791"/>
        <w:gridCol w:w="225"/>
        <w:gridCol w:w="736"/>
        <w:gridCol w:w="177"/>
        <w:gridCol w:w="225"/>
        <w:gridCol w:w="736"/>
        <w:gridCol w:w="166"/>
        <w:gridCol w:w="211"/>
        <w:gridCol w:w="751"/>
        <w:gridCol w:w="166"/>
        <w:gridCol w:w="211"/>
        <w:gridCol w:w="751"/>
        <w:gridCol w:w="351"/>
      </w:tblGrid>
      <w:tr>
        <w:trPr/>
        <w:tc>
          <w:tcPr>
            <w:tcW w:w="47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cash provided by operating activities</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48,860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81,920</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Purchases of property and equipment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7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Capitalized internal-use software development costs</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(18,166</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Free cash flow</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39,032</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63,578</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The increase in free cash flow for the three months ended June 30, 2026, as compared to the same period in 2025, was primarily driven by higher cash generated from operations, reflecting stronger operating performance and improved conversion of working capital into cash, partially offset by higher capitalized internal-use software development costs.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decrease in free cash flow for the six months ended June 30, 2026, as compared to the same period in 2025, reflected increased investments in working capital and internal-use software development, which more than offset improved operating performance.</w:t>
      </w:r>
    </w:p>
    <w:p>
      <w:pPr>
        <w:pStyle w:val="TextBody"/>
        <w:bidi w:val="0"/>
        <w:spacing w:before="120" w:after="283"/>
        <w:jc w:val="left"/>
        <w:rPr>
          <w:rFonts w:ascii="Arial" w:hAnsi="Arial"/>
          <w:b/>
          <w:color w:val="000000"/>
          <w:sz w:val="20"/>
        </w:rPr>
      </w:pPr>
      <w:r>
        <w:rPr>
          <w:rFonts w:ascii="Arial" w:hAnsi="Arial"/>
          <w:b/>
          <w:color w:val="000000"/>
          <w:sz w:val="20"/>
        </w:rPr>
        <w:t>Results of Operations</w:t>
      </w:r>
    </w:p>
    <w:p>
      <w:pPr>
        <w:pStyle w:val="TextBody"/>
        <w:bidi w:val="0"/>
        <w:spacing w:before="120" w:after="120"/>
        <w:jc w:val="both"/>
        <w:rPr>
          <w:rFonts w:ascii="Arial" w:hAnsi="Arial"/>
          <w:color w:val="000000"/>
          <w:sz w:val="20"/>
        </w:rPr>
      </w:pPr>
      <w:r>
        <w:rPr>
          <w:rFonts w:ascii="Arial" w:hAnsi="Arial"/>
          <w:color w:val="000000"/>
          <w:sz w:val="20"/>
        </w:rPr>
        <w:t>The following table sets forth our condensed consolidated statements of operations for the periods presented:</w:t>
      </w:r>
    </w:p>
    <w:tbl>
      <w:tblPr>
        <w:tblW w:w="10338" w:type="dxa"/>
        <w:jc w:val="left"/>
        <w:tblInd w:w="0" w:type="dxa"/>
        <w:tblLayout w:type="fixed"/>
        <w:tblCellMar>
          <w:top w:w="28" w:type="dxa"/>
          <w:left w:w="28" w:type="dxa"/>
          <w:bottom w:w="28" w:type="dxa"/>
          <w:right w:w="28" w:type="dxa"/>
        </w:tblCellMar>
      </w:tblPr>
      <w:tblGrid>
        <w:gridCol w:w="1476"/>
        <w:gridCol w:w="211"/>
        <w:gridCol w:w="796"/>
        <w:gridCol w:w="166"/>
        <w:gridCol w:w="211"/>
        <w:gridCol w:w="796"/>
        <w:gridCol w:w="146"/>
        <w:gridCol w:w="211"/>
        <w:gridCol w:w="691"/>
        <w:gridCol w:w="166"/>
        <w:gridCol w:w="646"/>
        <w:gridCol w:w="146"/>
        <w:gridCol w:w="211"/>
        <w:gridCol w:w="796"/>
        <w:gridCol w:w="146"/>
        <w:gridCol w:w="211"/>
        <w:gridCol w:w="796"/>
        <w:gridCol w:w="146"/>
        <w:gridCol w:w="211"/>
        <w:gridCol w:w="796"/>
        <w:gridCol w:w="166"/>
        <w:gridCol w:w="586"/>
        <w:gridCol w:w="611"/>
      </w:tblGrid>
      <w:tr>
        <w:trPr/>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360,736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280,077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80,659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719,177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555,312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163,865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266,425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208,600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538,634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417,811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120,823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94,311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180,543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137,501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Times New Roman" w:hAnsi="Times New Roman"/>
                <w:sz w:val="19"/>
              </w:rPr>
            </w:pPr>
            <w:r>
              <w:rPr>
                <w:rFonts w:ascii="Arial" w:hAnsi="Arial"/>
                <w:i/>
                <w:color w:val="000000"/>
                <w:sz w:val="19"/>
              </w:rPr>
              <w:t xml:space="preserve">Gross margin </w:t>
            </w:r>
            <w:r>
              <w:rPr>
                <w:rFonts w:ascii="Arial" w:hAnsi="Arial"/>
                <w:i/>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expenses</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63,257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61,690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105,890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59,173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Interest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Other (expense)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Income before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64,749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9"/>
              </w:rPr>
            </w:pPr>
            <w:r>
              <w:rPr>
                <w:rFonts w:ascii="Arial" w:hAnsi="Arial"/>
                <w:color w:val="000000"/>
                <w:sz w:val="19"/>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18"/>
        </w:rPr>
        <w:t>Gross margin is calculated as gross profit divided by revenue.</w:t>
      </w:r>
    </w:p>
    <w:p>
      <w:pPr>
        <w:pStyle w:val="TextBody"/>
        <w:bidi w:val="0"/>
        <w:spacing w:before="12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Arial" w:hAnsi="Arial"/>
          <w:color w:val="000000"/>
          <w:sz w:val="20"/>
        </w:rPr>
      </w:pPr>
      <w:r>
        <w:rPr>
          <w:rFonts w:ascii="Arial" w:hAnsi="Arial"/>
          <w:color w:val="000000"/>
          <w:sz w:val="20"/>
        </w:rPr>
        <w:t>The following table presents the components of our condensed consolidated statements of operations for the periods presented as a percentage of revenue:</w:t>
      </w:r>
    </w:p>
    <w:tbl>
      <w:tblPr>
        <w:tblW w:w="7895" w:type="dxa"/>
        <w:jc w:val="left"/>
        <w:tblInd w:w="0" w:type="dxa"/>
        <w:tblLayout w:type="fixed"/>
        <w:tblCellMar>
          <w:top w:w="28" w:type="dxa"/>
          <w:left w:w="28" w:type="dxa"/>
          <w:bottom w:w="28" w:type="dxa"/>
          <w:right w:w="28" w:type="dxa"/>
        </w:tblCellMar>
      </w:tblPr>
      <w:tblGrid>
        <w:gridCol w:w="2876"/>
        <w:gridCol w:w="426"/>
        <w:gridCol w:w="1050"/>
        <w:gridCol w:w="1050"/>
        <w:gridCol w:w="146"/>
        <w:gridCol w:w="938"/>
        <w:gridCol w:w="938"/>
        <w:gridCol w:w="471"/>
      </w:tblGrid>
      <w:tr>
        <w:trPr/>
        <w:tc>
          <w:tcPr>
            <w:tcW w:w="28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Six Months Ended </w:t>
              <w:b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Gross profit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Sales and marketing</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from operations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 net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(expense) income</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before income taxes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Provision for income taxes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Arial" w:hAnsi="Arial"/>
          <w:b/>
          <w:i/>
          <w:color w:val="000000"/>
          <w:sz w:val="20"/>
        </w:rPr>
      </w:pPr>
      <w:r>
        <w:rPr>
          <w:rFonts w:ascii="Arial" w:hAnsi="Arial"/>
          <w:b/>
          <w:i/>
          <w:color w:val="000000"/>
          <w:sz w:val="20"/>
        </w:rPr>
        <w:t>Comparison of the Three Months Ended June 30, 2026 and 2025</w:t>
      </w:r>
    </w:p>
    <w:p>
      <w:pPr>
        <w:pStyle w:val="TextBody"/>
        <w:bidi w:val="0"/>
        <w:spacing w:before="120" w:after="283"/>
        <w:jc w:val="left"/>
        <w:rPr>
          <w:rFonts w:ascii="Arial" w:hAnsi="Arial"/>
          <w:i/>
          <w:color w:val="000000"/>
          <w:sz w:val="20"/>
        </w:rPr>
      </w:pPr>
      <w:r>
        <w:rPr>
          <w:rFonts w:ascii="Arial" w:hAnsi="Arial"/>
          <w:i/>
          <w:color w:val="000000"/>
          <w:sz w:val="20"/>
        </w:rPr>
        <w:t>Revenue</w:t>
      </w:r>
    </w:p>
    <w:p>
      <w:pPr>
        <w:pStyle w:val="TextBody"/>
        <w:bidi w:val="0"/>
        <w:spacing w:before="120" w:after="283"/>
        <w:jc w:val="both"/>
        <w:rPr>
          <w:rFonts w:ascii="Times New Roman" w:hAnsi="Times New Roman"/>
          <w:sz w:val="20"/>
        </w:rPr>
      </w:pPr>
      <w:r>
        <w:rPr>
          <w:rFonts w:ascii="Arial" w:hAnsi="Arial"/>
          <w:color w:val="000000"/>
          <w:sz w:val="20"/>
        </w:rPr>
        <w:t>The increase in revenue was primarily driven by an increase in the number of transactions processed, which was driven by the implementation of new billers and increased transactions from our existing billers.</w:t>
      </w:r>
      <w:r>
        <w:rPr>
          <w:rFonts w:ascii="Times New Roman" w:hAnsi="Times New Roman"/>
          <w:color w:val="000000"/>
          <w:sz w:val="20"/>
        </w:rPr>
        <w:t xml:space="preserve"> </w:t>
      </w:r>
    </w:p>
    <w:p>
      <w:pPr>
        <w:pStyle w:val="TextBody"/>
        <w:bidi w:val="0"/>
        <w:spacing w:before="120" w:after="120"/>
        <w:jc w:val="both"/>
        <w:rPr>
          <w:rFonts w:ascii="Arial" w:hAnsi="Arial"/>
          <w:i/>
          <w:color w:val="000000"/>
          <w:sz w:val="20"/>
        </w:rPr>
      </w:pPr>
      <w:r>
        <w:rPr>
          <w:rFonts w:ascii="Arial" w:hAnsi="Arial"/>
          <w:i/>
          <w:color w:val="000000"/>
          <w:sz w:val="20"/>
        </w:rPr>
        <w:t>Cost of Revenue, Gross Profit and Gross Margin</w:t>
      </w:r>
    </w:p>
    <w:p>
      <w:pPr>
        <w:pStyle w:val="TextBody"/>
        <w:bidi w:val="0"/>
        <w:jc w:val="both"/>
        <w:rPr>
          <w:rFonts w:ascii="Times New Roman" w:hAnsi="Times New Roman"/>
          <w:sz w:val="20"/>
        </w:rPr>
      </w:pPr>
      <w:r>
        <w:rPr>
          <w:rFonts w:ascii="Arial" w:hAnsi="Arial"/>
          <w:color w:val="000000"/>
          <w:sz w:val="20"/>
        </w:rPr>
        <w:t>The increase in cost of revenue primarily corresponds with higher revenue and transaction volumes, as it consists primarily of interchange fees and processor costs.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Gross profit increased in tandem with revenue growth. Gross margin increased slightly, as the impact of a shift in customer mix towards high-volume enterprise billers with lower margins was more than offset by improved economies of scale.</w:t>
      </w:r>
    </w:p>
    <w:p>
      <w:pPr>
        <w:pStyle w:val="TextBody"/>
        <w:bidi w:val="0"/>
        <w:spacing w:before="12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Research and development expenses remained relatively consistent compared to the prior-year period. Higher employee-related costs were largely offset by lower amortization and stock-based compensation expenses.</w:t>
      </w:r>
    </w:p>
    <w:p>
      <w:pPr>
        <w:pStyle w:val="TextBody"/>
        <w:bidi w:val="0"/>
        <w:spacing w:before="120" w:after="283"/>
        <w:jc w:val="both"/>
        <w:rPr>
          <w:rFonts w:ascii="Arial" w:hAnsi="Arial"/>
          <w:i/>
          <w:color w:val="000000"/>
          <w:sz w:val="20"/>
        </w:rPr>
      </w:pPr>
      <w:r>
        <w:rPr>
          <w:rFonts w:ascii="Arial" w:hAnsi="Arial"/>
          <w:i/>
          <w:color w:val="000000"/>
          <w:sz w:val="20"/>
        </w:rPr>
        <w:t>Sales and Marketing Expenses</w:t>
      </w:r>
    </w:p>
    <w:p>
      <w:pPr>
        <w:pStyle w:val="TextBody"/>
        <w:bidi w:val="0"/>
        <w:spacing w:before="120" w:after="283"/>
        <w:jc w:val="both"/>
        <w:rPr>
          <w:rFonts w:ascii="Times New Roman" w:hAnsi="Times New Roman"/>
          <w:sz w:val="20"/>
        </w:rPr>
      </w:pPr>
      <w:r>
        <w:rPr>
          <w:rFonts w:ascii="Arial" w:hAnsi="Arial"/>
          <w:color w:val="000000"/>
          <w:sz w:val="20"/>
        </w:rPr>
        <w:t>The increase in sales and marketing expenses was primarily driven by higher agency and sales commission costs and higher employee-related costs, including stock-based compensation, partially offset by lower amortization expense.</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both"/>
        <w:rPr>
          <w:rFonts w:ascii="Times New Roman" w:hAnsi="Times New Roman"/>
          <w:sz w:val="20"/>
        </w:rPr>
      </w:pPr>
      <w:r>
        <w:rPr>
          <w:rFonts w:ascii="Arial" w:hAnsi="Arial"/>
          <w:color w:val="000000"/>
          <w:sz w:val="20"/>
        </w:rPr>
        <w:t>The increase in general and administrative expenses was primarily driven by higher stock-based compensation and employee-related costs, as well as higher lease expense and insurance premiums. These increases were partially offset by lower professional and legal fees.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Interest income, net</w:t>
      </w:r>
    </w:p>
    <w:p>
      <w:pPr>
        <w:pStyle w:val="TextBody"/>
        <w:bidi w:val="0"/>
        <w:spacing w:before="120" w:after="283"/>
        <w:jc w:val="both"/>
        <w:rPr>
          <w:rFonts w:ascii="Arial" w:hAnsi="Arial"/>
          <w:color w:val="000000"/>
          <w:sz w:val="20"/>
        </w:rPr>
      </w:pPr>
      <w:r>
        <w:rPr>
          <w:rFonts w:ascii="Arial" w:hAnsi="Arial"/>
          <w:color w:val="000000"/>
          <w:sz w:val="20"/>
        </w:rPr>
        <w:t>The change in interest income, net, was mainly due to higher cash balances held with banks, offset by lower interest rates.</w:t>
      </w:r>
    </w:p>
    <w:p>
      <w:pPr>
        <w:pStyle w:val="TextBody"/>
        <w:bidi w:val="0"/>
        <w:spacing w:before="120" w:after="283"/>
        <w:jc w:val="both"/>
        <w:rPr>
          <w:rFonts w:ascii="Arial" w:hAnsi="Arial"/>
          <w:i/>
          <w:color w:val="000000"/>
          <w:sz w:val="20"/>
        </w:rPr>
      </w:pPr>
      <w:r>
        <w:rPr>
          <w:rFonts w:ascii="Arial" w:hAnsi="Arial"/>
          <w:i/>
          <w:color w:val="000000"/>
          <w:sz w:val="20"/>
        </w:rPr>
        <w:t>Income Taxes</w:t>
      </w:r>
    </w:p>
    <w:p>
      <w:pPr>
        <w:pStyle w:val="TextBody"/>
        <w:bidi w:val="0"/>
        <w:spacing w:before="120" w:after="283"/>
        <w:jc w:val="both"/>
        <w:rPr>
          <w:rFonts w:ascii="Arial" w:hAnsi="Arial"/>
          <w:color w:val="000000"/>
          <w:sz w:val="20"/>
        </w:rPr>
      </w:pPr>
      <w:r>
        <w:rPr>
          <w:rFonts w:ascii="Arial" w:hAnsi="Arial"/>
          <w:color w:val="000000"/>
          <w:sz w:val="20"/>
        </w:rPr>
        <w:t>The change in provision for income taxes as well as the increase in the Company's effective tax rate, which was 28.3% for the three months ended June 30, 2026, as compared to 19.9% for the same period in the prior year, were primarily due to increased executive stock-based compensation in 2026 and more significant excess tax benefits on stock-based compensation in 2025.</w:t>
      </w:r>
    </w:p>
    <w:p>
      <w:pPr>
        <w:pStyle w:val="TextBody"/>
        <w:bidi w:val="0"/>
        <w:spacing w:before="240" w:after="283"/>
        <w:jc w:val="left"/>
        <w:rPr>
          <w:rFonts w:ascii="Arial" w:hAnsi="Arial"/>
          <w:b/>
          <w:i/>
          <w:color w:val="000000"/>
          <w:sz w:val="20"/>
        </w:rPr>
      </w:pPr>
      <w:r>
        <w:rPr>
          <w:rFonts w:ascii="Arial" w:hAnsi="Arial"/>
          <w:b/>
          <w:i/>
          <w:color w:val="000000"/>
          <w:sz w:val="20"/>
        </w:rPr>
        <w:t>Comparison of the Six Months Ended June 30, 2026 and 2025</w:t>
      </w:r>
    </w:p>
    <w:p>
      <w:pPr>
        <w:pStyle w:val="TextBody"/>
        <w:bidi w:val="0"/>
        <w:spacing w:before="12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i/>
          <w:color w:val="000000"/>
          <w:sz w:val="20"/>
        </w:rPr>
      </w:pPr>
      <w:r>
        <w:rPr>
          <w:rFonts w:ascii="Arial" w:hAnsi="Arial"/>
          <w:i/>
          <w:color w:val="000000"/>
          <w:sz w:val="20"/>
        </w:rPr>
        <w:t>Revenue</w:t>
      </w:r>
    </w:p>
    <w:p>
      <w:pPr>
        <w:pStyle w:val="TextBody"/>
        <w:bidi w:val="0"/>
        <w:spacing w:before="120" w:after="283"/>
        <w:jc w:val="both"/>
        <w:rPr>
          <w:rFonts w:ascii="Times New Roman" w:hAnsi="Times New Roman"/>
          <w:sz w:val="20"/>
        </w:rPr>
      </w:pPr>
      <w:r>
        <w:rPr>
          <w:rFonts w:ascii="Arial" w:hAnsi="Arial"/>
          <w:color w:val="000000"/>
          <w:sz w:val="20"/>
        </w:rPr>
        <w:t>The increase in revenue was primarily driven by an increase in the number of transactions processed, which was driven by the implementation of new billers and increased transactions from our existing billers.</w:t>
      </w:r>
      <w:r>
        <w:rPr>
          <w:rFonts w:ascii="Times New Roman" w:hAnsi="Times New Roman"/>
          <w:color w:val="000000"/>
          <w:sz w:val="20"/>
        </w:rPr>
        <w:t xml:space="preserve"> </w:t>
      </w:r>
    </w:p>
    <w:p>
      <w:pPr>
        <w:pStyle w:val="TextBody"/>
        <w:bidi w:val="0"/>
        <w:spacing w:before="120" w:after="120"/>
        <w:jc w:val="both"/>
        <w:rPr>
          <w:rFonts w:ascii="Arial" w:hAnsi="Arial"/>
          <w:i/>
          <w:color w:val="000000"/>
          <w:sz w:val="20"/>
        </w:rPr>
      </w:pPr>
      <w:r>
        <w:rPr>
          <w:rFonts w:ascii="Arial" w:hAnsi="Arial"/>
          <w:i/>
          <w:color w:val="000000"/>
          <w:sz w:val="20"/>
        </w:rPr>
        <w:t>Cost of Revenue, Gross Profit and Gross Margin</w:t>
      </w:r>
    </w:p>
    <w:p>
      <w:pPr>
        <w:pStyle w:val="TextBody"/>
        <w:bidi w:val="0"/>
        <w:jc w:val="both"/>
        <w:rPr>
          <w:rFonts w:ascii="Times New Roman" w:hAnsi="Times New Roman"/>
          <w:sz w:val="20"/>
        </w:rPr>
      </w:pPr>
      <w:r>
        <w:rPr>
          <w:rFonts w:ascii="Arial" w:hAnsi="Arial"/>
          <w:color w:val="000000"/>
          <w:sz w:val="20"/>
        </w:rPr>
        <w:t>The increase in cost of revenue corresponds with higher revenue and transaction volumes, as it consists primarily of interchange fees and processor costs.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While gross profit increased in tandem with revenue growth, gross margin increased slightly, as a shift in customer mix towards high-volume enterprise billers with lower margins was offset by improved economies of scale.</w:t>
      </w:r>
    </w:p>
    <w:p>
      <w:pPr>
        <w:pStyle w:val="TextBody"/>
        <w:bidi w:val="0"/>
        <w:spacing w:before="12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Research and development expenses increased primarily due to higher employee-related costs, including benefits, driven by headcount growth and annual compensation adjustments, as well as higher cloud computing services expense. These increases were partially offset by lower amortization expense.</w:t>
      </w:r>
    </w:p>
    <w:p>
      <w:pPr>
        <w:pStyle w:val="TextBody"/>
        <w:bidi w:val="0"/>
        <w:spacing w:before="120" w:after="283"/>
        <w:jc w:val="both"/>
        <w:rPr>
          <w:rFonts w:ascii="Arial" w:hAnsi="Arial"/>
          <w:i/>
          <w:color w:val="000000"/>
          <w:sz w:val="20"/>
        </w:rPr>
      </w:pPr>
      <w:r>
        <w:rPr>
          <w:rFonts w:ascii="Arial" w:hAnsi="Arial"/>
          <w:i/>
          <w:color w:val="000000"/>
          <w:sz w:val="20"/>
        </w:rPr>
        <w:t>Sales and Marketing Expenses</w:t>
      </w:r>
    </w:p>
    <w:p>
      <w:pPr>
        <w:pStyle w:val="TextBody"/>
        <w:bidi w:val="0"/>
        <w:spacing w:before="120" w:after="283"/>
        <w:jc w:val="both"/>
        <w:rPr>
          <w:rFonts w:ascii="Arial" w:hAnsi="Arial"/>
          <w:color w:val="000000"/>
          <w:sz w:val="20"/>
        </w:rPr>
      </w:pPr>
      <w:r>
        <w:rPr>
          <w:rFonts w:ascii="Arial" w:hAnsi="Arial"/>
          <w:color w:val="000000"/>
          <w:sz w:val="20"/>
        </w:rPr>
        <w:t>Sales and marketing expenses increased primarily due to higher reseller commissions and employee-related costs, including benefits. These increases were partially offset by lower stock-based compensation and amortization expense.</w:t>
      </w:r>
    </w:p>
    <w:p>
      <w:pPr>
        <w:pStyle w:val="TextBody"/>
        <w:bidi w:val="0"/>
        <w:spacing w:before="12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primarily due to higher stock-based compensation, as well as higher employee-related costs, lease expense, and insurance premiums. These increases were partially offset by lower professional and legal services costs.</w:t>
      </w:r>
    </w:p>
    <w:p>
      <w:pPr>
        <w:pStyle w:val="TextBody"/>
        <w:bidi w:val="0"/>
        <w:spacing w:before="120" w:after="283"/>
        <w:jc w:val="both"/>
        <w:rPr>
          <w:rFonts w:ascii="Arial" w:hAnsi="Arial"/>
          <w:i/>
          <w:color w:val="000000"/>
          <w:sz w:val="20"/>
        </w:rPr>
      </w:pPr>
      <w:r>
        <w:rPr>
          <w:rFonts w:ascii="Arial" w:hAnsi="Arial"/>
          <w:i/>
          <w:color w:val="000000"/>
          <w:sz w:val="20"/>
        </w:rPr>
        <w:t>Interest income, net</w:t>
      </w:r>
    </w:p>
    <w:p>
      <w:pPr>
        <w:pStyle w:val="TextBody"/>
        <w:bidi w:val="0"/>
        <w:spacing w:before="120" w:after="283"/>
        <w:jc w:val="both"/>
        <w:rPr>
          <w:rFonts w:ascii="Arial" w:hAnsi="Arial"/>
          <w:color w:val="000000"/>
          <w:sz w:val="20"/>
        </w:rPr>
      </w:pPr>
      <w:r>
        <w:rPr>
          <w:rFonts w:ascii="Arial" w:hAnsi="Arial"/>
          <w:color w:val="000000"/>
          <w:sz w:val="20"/>
        </w:rPr>
        <w:t>The change in interest income, net, was mainly due to higher cash balances held with banks, offset by lower interest rates.</w:t>
      </w:r>
    </w:p>
    <w:p>
      <w:pPr>
        <w:pStyle w:val="TextBody"/>
        <w:bidi w:val="0"/>
        <w:spacing w:before="120" w:after="283"/>
        <w:jc w:val="both"/>
        <w:rPr>
          <w:rFonts w:ascii="Arial" w:hAnsi="Arial"/>
          <w:i/>
          <w:color w:val="000000"/>
          <w:sz w:val="20"/>
        </w:rPr>
      </w:pPr>
      <w:r>
        <w:rPr>
          <w:rFonts w:ascii="Arial" w:hAnsi="Arial"/>
          <w:i/>
          <w:color w:val="000000"/>
          <w:sz w:val="20"/>
        </w:rPr>
        <w:t>Income Taxes</w:t>
      </w:r>
    </w:p>
    <w:p>
      <w:pPr>
        <w:pStyle w:val="TextBody"/>
        <w:bidi w:val="0"/>
        <w:spacing w:before="120" w:after="283"/>
        <w:jc w:val="both"/>
        <w:rPr>
          <w:rFonts w:ascii="Arial" w:hAnsi="Arial"/>
          <w:color w:val="000000"/>
          <w:sz w:val="20"/>
        </w:rPr>
      </w:pPr>
      <w:r>
        <w:rPr>
          <w:rFonts w:ascii="Arial" w:hAnsi="Arial"/>
          <w:color w:val="000000"/>
          <w:sz w:val="20"/>
        </w:rPr>
        <w:t>The change in provision for income taxes as well as the increase in the Company's effective tax rate, which was 28.3% for the six months ended June 30, 2026, as compared to 21.2% for the same period in the prior year, were primarily due to increased executive stock-based compensation in 2026 and more significant excess tax benefits on stock-based compensation in 2025.</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120" w:after="283"/>
        <w:jc w:val="both"/>
        <w:rPr>
          <w:rFonts w:ascii="Arial" w:hAnsi="Arial"/>
          <w:b/>
          <w:i/>
          <w:color w:val="000000"/>
          <w:sz w:val="20"/>
        </w:rPr>
      </w:pPr>
      <w:r>
        <w:rPr>
          <w:rFonts w:ascii="Arial" w:hAnsi="Arial"/>
          <w:b/>
          <w:i/>
          <w:color w:val="000000"/>
          <w:sz w:val="20"/>
        </w:rPr>
        <w:t>Sources and Uses of Funds</w:t>
      </w:r>
    </w:p>
    <w:p>
      <w:pPr>
        <w:pStyle w:val="TextBody"/>
        <w:bidi w:val="0"/>
        <w:spacing w:before="120" w:after="283"/>
        <w:jc w:val="both"/>
        <w:rPr>
          <w:rFonts w:ascii="Arial" w:hAnsi="Arial"/>
          <w:color w:val="000000"/>
          <w:sz w:val="20"/>
        </w:rPr>
      </w:pPr>
      <w:r>
        <w:rPr>
          <w:rFonts w:ascii="Arial" w:hAnsi="Arial"/>
          <w:color w:val="000000"/>
          <w:sz w:val="20"/>
        </w:rPr>
        <w:t>As of June 30, 2026, we had $377.7 million of unrestricted cash and cash equivalents. We believe that existing unrestricted cash and cash equivalents will be sufficient to support our working capital, capital expenditure requirements, and other commitments described in Note 8, for at least the next 12 months. Since inception, we have financed operations primarily through the sale of equity securities and revenue from payment transaction fees. Our principal uses of cash are funding operations, which primarily consist of employee-related costs, payments to third parties to fulfill our payment transactions and payments to sales and marketing partners. Although this is subject to change based on market opportunities or changing priorities, we currently do not have any material planned capital expenditures or acquisitions in the next 12 months.</w:t>
      </w:r>
    </w:p>
    <w:p>
      <w:pPr>
        <w:pStyle w:val="TextBody"/>
        <w:bidi w:val="0"/>
        <w:spacing w:before="120" w:after="283"/>
        <w:jc w:val="both"/>
        <w:rPr>
          <w:rFonts w:ascii="Times New Roman" w:hAnsi="Times New Roman"/>
          <w:sz w:val="20"/>
        </w:rPr>
      </w:pPr>
      <w:r>
        <w:rPr>
          <w:rFonts w:ascii="Arial" w:hAnsi="Arial"/>
          <w:color w:val="000000"/>
          <w:sz w:val="20"/>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i/>
          <w:color w:val="000000"/>
          <w:sz w:val="20"/>
        </w:rPr>
        <w:t>Historical Cash Flows</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The following table summarizes our condensed consolidated statements of cash flows:</w:t>
      </w:r>
    </w:p>
    <w:tbl>
      <w:tblPr>
        <w:tblW w:w="8226" w:type="dxa"/>
        <w:jc w:val="left"/>
        <w:tblInd w:w="0" w:type="dxa"/>
        <w:tblLayout w:type="fixed"/>
        <w:tblCellMar>
          <w:top w:w="28" w:type="dxa"/>
          <w:left w:w="28" w:type="dxa"/>
          <w:bottom w:w="28" w:type="dxa"/>
          <w:right w:w="28" w:type="dxa"/>
        </w:tblCellMar>
      </w:tblPr>
      <w:tblGrid>
        <w:gridCol w:w="5221"/>
        <w:gridCol w:w="268"/>
        <w:gridCol w:w="954"/>
        <w:gridCol w:w="210"/>
        <w:gridCol w:w="268"/>
        <w:gridCol w:w="954"/>
        <w:gridCol w:w="351"/>
      </w:tblGrid>
      <w:tr>
        <w:trPr/>
        <w:tc>
          <w:tcPr>
            <w:tcW w:w="52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 June 30,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Operating activities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79,312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81,920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Investing activities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(18,519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(17,708</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Financing activities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Effects of foreign exchange on cash</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in cash, cash equivalents and restricted cash</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55,165</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60,634</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sz w:val="20"/>
        </w:rPr>
      </w:pPr>
      <w:r>
        <w:rPr>
          <w:rFonts w:ascii="Arial" w:hAnsi="Arial"/>
          <w:i/>
          <w:color w:val="000000"/>
          <w:sz w:val="20"/>
        </w:rPr>
        <w:t>Net Cash Provided by Operating Activities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six months ended June 30, 2026 was $79.3 million. Net income was $46.4 million, adjusted for non-cash charges of $34.1 million, consisting primarily of depreciation and amortization, stock-based compensation, amortization of capitalized contract acquisition costs and warrant cost, non-cash lease expense and provision for expected credit losses. These amounts were offset by $1.2 million of net cash outflows resulting from changes in our operating assets and liabilities.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Net cash provided by operating activities for the six months ended June 30, 2025 was $81.9 million. Net income was $28.5 million, adjusted for non-cash charges of $30.0 million consisting primarily of depreciation and amortization, stock-based compensation, amortization of capitalized contract acquisition costs and warrant cost, non-cash lease expense and provision for expected credit losses. Changes in our operating assets and liabilities provided an additional $23.4 million of cash.</w:t>
      </w:r>
    </w:p>
    <w:p>
      <w:pPr>
        <w:pStyle w:val="TextBody"/>
        <w:bidi w:val="0"/>
        <w:spacing w:before="120" w:after="120"/>
        <w:jc w:val="both"/>
        <w:rPr>
          <w:rFonts w:ascii="Times New Roman" w:hAnsi="Times New Roman"/>
          <w:sz w:val="20"/>
        </w:rPr>
      </w:pPr>
      <w:r>
        <w:rPr>
          <w:rFonts w:ascii="Arial" w:hAnsi="Arial"/>
          <w:i/>
          <w:color w:val="000000"/>
          <w:sz w:val="20"/>
        </w:rPr>
        <w:t>Net Cash Used in Investing Activities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Net cash used in investing activities for the six months ended June 30, 2026 consisted of $19.2 million of capitalized internal-use software development costs and $0.2 million of purchases of property and equipment, partially offset by a $0.9 million cash inflow from net change in interest-bearing deposits.</w:t>
      </w:r>
    </w:p>
    <w:p>
      <w:pPr>
        <w:pStyle w:val="TextBody"/>
        <w:bidi w:val="0"/>
        <w:spacing w:before="120" w:after="283"/>
        <w:jc w:val="both"/>
        <w:rPr>
          <w:rFonts w:ascii="Arial" w:hAnsi="Arial"/>
          <w:color w:val="000000"/>
          <w:sz w:val="20"/>
        </w:rPr>
      </w:pPr>
      <w:r>
        <w:rPr>
          <w:rFonts w:ascii="Arial" w:hAnsi="Arial"/>
          <w:color w:val="000000"/>
          <w:sz w:val="20"/>
        </w:rPr>
        <w:t>Net cash used in investing activities for the six months ended June 30, 2025 consisted of $18.2 million of capitalized internal-use software development costs and $0.2 million of purchases of property and equipment, partially offset by a $0.6 million cash inflow from net change in interest-bearing deposits.</w:t>
      </w:r>
    </w:p>
    <w:p>
      <w:pPr>
        <w:pStyle w:val="TextBody"/>
        <w:bidi w:val="0"/>
        <w:spacing w:before="120" w:after="120"/>
        <w:jc w:val="both"/>
        <w:rPr>
          <w:rFonts w:ascii="Arial" w:hAnsi="Arial"/>
          <w:i/>
          <w:color w:val="000000"/>
          <w:sz w:val="20"/>
        </w:rPr>
      </w:pPr>
      <w:r>
        <w:rPr>
          <w:rFonts w:ascii="Arial" w:hAnsi="Arial"/>
          <w:i/>
          <w:color w:val="000000"/>
          <w:sz w:val="20"/>
        </w:rPr>
        <w:t>Net Cash Used in Financing Activities</w:t>
      </w:r>
    </w:p>
    <w:p>
      <w:pPr>
        <w:pStyle w:val="TextBody"/>
        <w:bidi w:val="0"/>
        <w:jc w:val="both"/>
        <w:rPr>
          <w:rFonts w:ascii="Arial" w:hAnsi="Arial"/>
          <w:color w:val="000000"/>
          <w:sz w:val="20"/>
        </w:rPr>
      </w:pPr>
      <w:r>
        <w:rPr>
          <w:rFonts w:ascii="Arial" w:hAnsi="Arial"/>
          <w:color w:val="000000"/>
          <w:sz w:val="20"/>
        </w:rPr>
        <w:t>Net cash used in financing activities for the six months ended June 30, 2026 consisted primarily of $5.4 million of payments of taxes withheld on net settled vesting of restricted stock units.</w:t>
      </w:r>
    </w:p>
    <w:p>
      <w:pPr>
        <w:pStyle w:val="TextBody"/>
        <w:bidi w:val="0"/>
        <w:spacing w:before="120" w:after="283"/>
        <w:jc w:val="both"/>
        <w:rPr>
          <w:rFonts w:ascii="Arial" w:hAnsi="Arial"/>
          <w:color w:val="000000"/>
          <w:sz w:val="20"/>
        </w:rPr>
      </w:pPr>
      <w:r>
        <w:rPr>
          <w:rFonts w:ascii="Arial" w:hAnsi="Arial"/>
          <w:color w:val="000000"/>
          <w:sz w:val="20"/>
        </w:rPr>
        <w:t>Net cash used in financing activities for the six months ended June 30, 2025 consisted primarily of $3.8 million of payments of taxes withheld on net settled vesting of restricted stock units, which was offset by $0.1 million of proceeds from the exercise of stock-based awards by employees.</w:t>
      </w:r>
    </w:p>
    <w:p>
      <w:pPr>
        <w:pStyle w:val="TextBody"/>
        <w:bidi w:val="0"/>
        <w:spacing w:before="120" w:after="283"/>
        <w:jc w:val="both"/>
        <w:rPr>
          <w:rFonts w:ascii="Arial" w:hAnsi="Arial"/>
          <w:b/>
          <w:color w:val="000000"/>
          <w:sz w:val="20"/>
        </w:rPr>
      </w:pPr>
      <w:r>
        <w:rPr>
          <w:rFonts w:ascii="Arial" w:hAnsi="Arial"/>
          <w:b/>
          <w:color w:val="000000"/>
          <w:sz w:val="20"/>
        </w:rPr>
        <w:t>Critical Accounting Policies and Estimates</w:t>
      </w:r>
    </w:p>
    <w:p>
      <w:pPr>
        <w:pStyle w:val="TextBody"/>
        <w:bidi w:val="0"/>
        <w:spacing w:before="120" w:after="283"/>
        <w:jc w:val="both"/>
        <w:rPr>
          <w:rFonts w:ascii="Arial" w:hAnsi="Arial"/>
          <w:color w:val="000000"/>
          <w:sz w:val="20"/>
        </w:rPr>
      </w:pPr>
      <w:r>
        <w:rPr>
          <w:rFonts w:ascii="Arial" w:hAnsi="Arial"/>
          <w:color w:val="000000"/>
          <w:sz w:val="20"/>
        </w:rPr>
        <w:t>The preparation of financial statements in conformity with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 consolidated financial statements included in our 2025 Form 10-K. There have been no material changes in our critical accounting policies and estimates since December 31, 2025.</w:t>
      </w:r>
    </w:p>
    <w:p>
      <w:pPr>
        <w:pStyle w:val="TextBody"/>
        <w:bidi w:val="0"/>
        <w:spacing w:before="12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120" w:after="283"/>
        <w:jc w:val="both"/>
        <w:rPr>
          <w:rFonts w:ascii="Arial" w:hAnsi="Arial"/>
          <w:color w:val="000000"/>
          <w:sz w:val="20"/>
        </w:rPr>
      </w:pPr>
      <w:r>
        <w:rPr>
          <w:rFonts w:ascii="Arial" w:hAnsi="Arial"/>
          <w:color w:val="000000"/>
          <w:sz w:val="20"/>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pStyle w:val="TextBody"/>
        <w:bidi w:val="0"/>
        <w:spacing w:before="12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bookmarkStart w:id="14" w:name="item_3_quantitative_and_qualitative"/>
      <w:bookmarkEnd w:id="14"/>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in our exposures to market risk since December 31, 2025. For details on the Company’s interest rate and foreign currency exchange risks, see Part I, Item 7A. “Quantitative and Qualitative Disclosures About Market Risk” in our 2025 Form 10-K.</w:t>
      </w:r>
    </w:p>
    <w:p>
      <w:pPr>
        <w:pStyle w:val="TextBody"/>
        <w:bidi w:val="0"/>
        <w:spacing w:before="240" w:after="120"/>
        <w:jc w:val="both"/>
        <w:rPr>
          <w:rFonts w:ascii="Arial" w:hAnsi="Arial"/>
          <w:b/>
          <w:color w:val="000000"/>
          <w:sz w:val="20"/>
        </w:rPr>
      </w:pPr>
      <w:bookmarkStart w:id="15" w:name="item_4_controls_and_procedures"/>
      <w:bookmarkEnd w:id="15"/>
      <w:r>
        <w:rPr>
          <w:rFonts w:ascii="Arial" w:hAnsi="Arial"/>
          <w:b/>
          <w:color w:val="000000"/>
          <w:sz w:val="20"/>
        </w:rPr>
        <w:t>Item 4. Controls and Procedures</w:t>
      </w:r>
    </w:p>
    <w:p>
      <w:pPr>
        <w:pStyle w:val="TextBody"/>
        <w:bidi w:val="0"/>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both"/>
        <w:rPr>
          <w:rFonts w:ascii="Times New Roman" w:hAnsi="Times New Roman"/>
          <w:sz w:val="20"/>
        </w:rPr>
      </w:pPr>
      <w:r>
        <w:rPr>
          <w:rFonts w:ascii="Arial" w:hAnsi="Arial"/>
          <w:color w:val="000000"/>
          <w:sz w:val="20"/>
        </w:rPr>
        <w:t>We maintain disclosure controls and procedures (as defined in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management, with the participation of our Chief Executive Officer and Chief Financial Officer, has evaluated the effectiveness of our disclosure controls and procedures as of June 30, 2026, the end of the period covered by this Quarterly Report on Form 10-Q. Based on such evaluation, our Chief Executive Officer and Chief Financial Officer have concluded that, as of such date, our disclosure controls and procedures were effective at the reasonable assurance level.</w:t>
      </w:r>
    </w:p>
    <w:p>
      <w:pPr>
        <w:pStyle w:val="TextBody"/>
        <w:bidi w:val="0"/>
        <w:spacing w:before="120" w:after="283"/>
        <w:jc w:val="both"/>
        <w:rPr>
          <w:rFonts w:ascii="Times New Roman" w:hAnsi="Times New Roman"/>
          <w:sz w:val="20"/>
        </w:rPr>
      </w:pPr>
      <w:r>
        <w:rPr>
          <w:rFonts w:ascii="Arial" w:hAnsi="Arial"/>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spacing w:before="120" w:after="283"/>
        <w:jc w:val="both"/>
        <w:rPr>
          <w:rFonts w:ascii="Arial" w:hAnsi="Arial"/>
          <w:b/>
          <w:i/>
          <w:color w:val="000000"/>
          <w:sz w:val="20"/>
        </w:rPr>
      </w:pPr>
      <w:r>
        <w:rPr>
          <w:rFonts w:ascii="Arial" w:hAnsi="Arial"/>
          <w:b/>
          <w:i/>
          <w:color w:val="000000"/>
          <w:sz w:val="20"/>
        </w:rPr>
        <w:t>Inherent Limitations on Effectiveness of Controls</w:t>
      </w:r>
    </w:p>
    <w:p>
      <w:pPr>
        <w:pStyle w:val="TextBody"/>
        <w:bidi w:val="0"/>
        <w:spacing w:before="120" w:after="283"/>
        <w:jc w:val="both"/>
        <w:rPr>
          <w:rFonts w:ascii="Arial" w:hAnsi="Arial"/>
          <w:color w:val="000000"/>
          <w:sz w:val="20"/>
        </w:rPr>
      </w:pPr>
      <w:r>
        <w:rPr>
          <w:rFonts w:ascii="Arial" w:hAnsi="Arial"/>
          <w:color w:val="000000"/>
          <w:sz w:val="20"/>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12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0"/>
        </w:rPr>
      </w:pPr>
      <w:r>
        <w:rPr>
          <w:rFonts w:ascii="Arial" w:hAnsi="Arial"/>
          <w:b/>
          <w:color w:val="000000"/>
          <w:sz w:val="20"/>
        </w:rPr>
        <w:t>PART II—OTHER INFORMATION</w:t>
      </w:r>
    </w:p>
    <w:p>
      <w:pPr>
        <w:pStyle w:val="TextBody"/>
        <w:bidi w:val="0"/>
        <w:spacing w:before="240" w:after="120"/>
        <w:jc w:val="both"/>
        <w:rPr>
          <w:rFonts w:ascii="Arial" w:hAnsi="Arial"/>
          <w:b/>
          <w:color w:val="000000"/>
          <w:sz w:val="20"/>
        </w:rPr>
      </w:pPr>
      <w:bookmarkStart w:id="16" w:name="item_1_legal_proceedings"/>
      <w:bookmarkEnd w:id="16"/>
      <w:r>
        <w:rPr>
          <w:rFonts w:ascii="Arial" w:hAnsi="Arial"/>
          <w:b/>
          <w:color w:val="000000"/>
          <w:sz w:val="20"/>
        </w:rPr>
        <w:t>Item 1. Legal Proceedings.</w:t>
      </w:r>
    </w:p>
    <w:p>
      <w:pPr>
        <w:pStyle w:val="TextBody"/>
        <w:bidi w:val="0"/>
        <w:jc w:val="both"/>
        <w:rPr>
          <w:rFonts w:ascii="Arial" w:hAnsi="Arial"/>
          <w:color w:val="000000"/>
          <w:sz w:val="20"/>
        </w:rPr>
      </w:pPr>
      <w:r>
        <w:rPr>
          <w:rFonts w:ascii="Arial" w:hAnsi="Arial"/>
          <w:color w:val="000000"/>
          <w:sz w:val="20"/>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From time to time as appropriate, we accrue liabilities related to legal claims in our financial statements. We are not currently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120" w:after="283"/>
        <w:jc w:val="both"/>
        <w:rPr>
          <w:rFonts w:ascii="Arial" w:hAnsi="Arial"/>
          <w:b/>
          <w:color w:val="000000"/>
          <w:sz w:val="20"/>
        </w:rPr>
      </w:pPr>
      <w:bookmarkStart w:id="17" w:name="item_1a_risk_factors"/>
      <w:bookmarkEnd w:id="17"/>
      <w:r>
        <w:rPr>
          <w:rFonts w:ascii="Arial" w:hAnsi="Arial"/>
          <w:b/>
          <w:color w:val="000000"/>
          <w:sz w:val="20"/>
        </w:rPr>
        <w:t>Item 1A. Risk Factors.</w:t>
      </w:r>
    </w:p>
    <w:p>
      <w:pPr>
        <w:pStyle w:val="TextBody"/>
        <w:bidi w:val="0"/>
        <w:spacing w:before="120" w:after="283"/>
        <w:jc w:val="both"/>
        <w:rPr>
          <w:rFonts w:ascii="Arial" w:hAnsi="Arial"/>
          <w:color w:val="000000"/>
          <w:sz w:val="20"/>
        </w:rPr>
      </w:pPr>
      <w:r>
        <w:rPr>
          <w:rFonts w:ascii="Arial" w:hAnsi="Arial"/>
          <w:color w:val="000000"/>
          <w:sz w:val="20"/>
        </w:rPr>
        <w:t>There have been no material changes in the risk factors previously disclosed in Item 1A. of our 2025 Form 10-K.</w:t>
      </w:r>
    </w:p>
    <w:p>
      <w:pPr>
        <w:pStyle w:val="TextBody"/>
        <w:bidi w:val="0"/>
        <w:spacing w:before="120" w:after="283"/>
        <w:jc w:val="left"/>
        <w:rPr>
          <w:rFonts w:ascii="Arial" w:hAnsi="Arial"/>
          <w:b/>
          <w:color w:val="000000"/>
          <w:sz w:val="20"/>
        </w:rPr>
      </w:pPr>
      <w:bookmarkStart w:id="18" w:name="item_2_unregistered_sales_of_equity"/>
      <w:bookmarkEnd w:id="18"/>
      <w:r>
        <w:rPr>
          <w:rFonts w:ascii="Arial" w:hAnsi="Arial"/>
          <w:b/>
          <w:color w:val="000000"/>
          <w:sz w:val="20"/>
        </w:rPr>
        <w:t>Item 2. Unregistered Sales of Equity Securities and Use of Proceeds.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120" w:after="283"/>
        <w:jc w:val="left"/>
        <w:rPr>
          <w:rFonts w:ascii="Arial" w:hAnsi="Arial"/>
          <w:b/>
          <w:color w:val="000000"/>
          <w:sz w:val="20"/>
        </w:rPr>
      </w:pPr>
      <w:bookmarkStart w:id="19" w:name="item_3_defaults_upon_senior_securities"/>
      <w:bookmarkEnd w:id="19"/>
      <w:r>
        <w:rPr>
          <w:rFonts w:ascii="Arial" w:hAnsi="Arial"/>
          <w:b/>
          <w:color w:val="000000"/>
          <w:sz w:val="20"/>
        </w:rPr>
        <w:t>Item 3. Defaults upon Senior Securities.</w:t>
      </w:r>
    </w:p>
    <w:p>
      <w:pPr>
        <w:pStyle w:val="TextBody"/>
        <w:bidi w:val="0"/>
        <w:spacing w:before="120" w:after="283"/>
        <w:jc w:val="left"/>
        <w:rPr>
          <w:rFonts w:ascii="Arial" w:hAnsi="Arial"/>
          <w:color w:val="000000"/>
          <w:sz w:val="20"/>
        </w:rPr>
      </w:pPr>
      <w:r>
        <w:rPr>
          <w:rFonts w:ascii="Arial" w:hAnsi="Arial"/>
          <w:color w:val="000000"/>
          <w:sz w:val="20"/>
        </w:rPr>
        <w:t>None.</w:t>
      </w:r>
    </w:p>
    <w:p>
      <w:pPr>
        <w:pStyle w:val="TextBody"/>
        <w:bidi w:val="0"/>
        <w:spacing w:before="120" w:after="283"/>
        <w:jc w:val="left"/>
        <w:rPr>
          <w:rFonts w:ascii="Arial" w:hAnsi="Arial"/>
          <w:b/>
          <w:color w:val="000000"/>
          <w:sz w:val="20"/>
        </w:rPr>
      </w:pPr>
      <w:bookmarkStart w:id="20" w:name="item_4_mine_safety_disclosures"/>
      <w:bookmarkEnd w:id="20"/>
      <w:r>
        <w:rPr>
          <w:rFonts w:ascii="Arial" w:hAnsi="Arial"/>
          <w:b/>
          <w:color w:val="000000"/>
          <w:sz w:val="20"/>
        </w:rPr>
        <w:t>Item 4. Mine Safety Disclosures.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120" w:after="283"/>
        <w:jc w:val="left"/>
        <w:rPr>
          <w:rFonts w:ascii="Arial" w:hAnsi="Arial"/>
          <w:b/>
          <w:color w:val="000000"/>
          <w:sz w:val="20"/>
        </w:rPr>
      </w:pPr>
      <w:bookmarkStart w:id="21" w:name="item_5_other_information"/>
      <w:bookmarkEnd w:id="21"/>
      <w:r>
        <w:rPr>
          <w:rFonts w:ascii="Arial" w:hAnsi="Arial"/>
          <w:b/>
          <w:color w:val="000000"/>
          <w:sz w:val="20"/>
        </w:rPr>
        <w:t>Item 5. Other Information.</w:t>
      </w:r>
    </w:p>
    <w:p>
      <w:pPr>
        <w:pStyle w:val="TextBody"/>
        <w:bidi w:val="0"/>
        <w:spacing w:before="120" w:after="283"/>
        <w:jc w:val="both"/>
        <w:rPr>
          <w:rFonts w:ascii="Times New Roman" w:hAnsi="Times New Roman"/>
          <w:sz w:val="20"/>
        </w:rPr>
      </w:pPr>
      <w:r>
        <w:rPr>
          <w:rFonts w:ascii="Arial" w:hAnsi="Arial"/>
          <w:color w:val="000000"/>
          <w:sz w:val="20"/>
        </w:rPr>
        <w:t>During the quarter ended June 30, 2026, none of the Company’s directors or officers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such terms are defined in Item 408(a) of Regulation S</w:t>
        <w:noBreakHyphen/>
        <w:t>K.</w:t>
      </w:r>
    </w:p>
    <w:p>
      <w:pPr>
        <w:pStyle w:val="TextBody"/>
        <w:bidi w:val="0"/>
        <w:spacing w:before="12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b/>
          <w:color w:val="000000"/>
          <w:sz w:val="20"/>
        </w:rPr>
      </w:pPr>
      <w:bookmarkStart w:id="22" w:name="item_6_exhibits"/>
      <w:bookmarkEnd w:id="22"/>
      <w:r>
        <w:rPr>
          <w:rFonts w:ascii="Arial" w:hAnsi="Arial"/>
          <w:b/>
          <w:color w:val="000000"/>
          <w:sz w:val="20"/>
        </w:rPr>
        <w:t>Item 6. Exhibits.</w:t>
      </w:r>
    </w:p>
    <w:p>
      <w:pPr>
        <w:pStyle w:val="TextBody"/>
        <w:bidi w:val="0"/>
        <w:spacing w:before="240" w:after="120"/>
        <w:jc w:val="left"/>
        <w:rPr>
          <w:rFonts w:ascii="Arial" w:hAnsi="Arial"/>
          <w:b/>
          <w:color w:val="000000"/>
          <w:sz w:val="20"/>
        </w:rPr>
      </w:pPr>
      <w:r>
        <w:rPr>
          <w:rFonts w:ascii="Arial" w:hAnsi="Arial"/>
          <w:b/>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863"/>
        <w:gridCol w:w="146"/>
        <w:gridCol w:w="4056"/>
        <w:gridCol w:w="146"/>
        <w:gridCol w:w="601"/>
        <w:gridCol w:w="146"/>
        <w:gridCol w:w="690"/>
        <w:gridCol w:w="146"/>
        <w:gridCol w:w="766"/>
        <w:gridCol w:w="146"/>
        <w:gridCol w:w="1118"/>
        <w:gridCol w:w="146"/>
        <w:gridCol w:w="1235"/>
      </w:tblGrid>
      <w:tr>
        <w:trPr/>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8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8"/>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63"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9"/>
              </w:rPr>
            </w:pPr>
            <w:r>
              <w:rPr>
                <w:rFonts w:ascii="Arial" w:hAnsi="Arial"/>
                <w:b/>
                <w:color w:val="000000"/>
                <w:sz w:val="19"/>
              </w:rPr>
              <w:t>Exhibit</w:t>
            </w:r>
          </w:p>
          <w:p>
            <w:pPr>
              <w:pStyle w:val="TableContents"/>
              <w:bidi w:val="0"/>
              <w:spacing w:before="0" w:after="283"/>
              <w:jc w:val="center"/>
              <w:rPr>
                <w:rFonts w:ascii="Arial" w:hAnsi="Arial"/>
                <w:b/>
                <w:color w:val="000000"/>
                <w:sz w:val="19"/>
              </w:rPr>
            </w:pPr>
            <w:r>
              <w:rPr>
                <w:rFonts w:ascii="Arial" w:hAnsi="Arial"/>
                <w:b/>
                <w:color w:val="000000"/>
                <w:sz w:val="19"/>
              </w:rPr>
              <w:t>Number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Filing 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8" w:space="0" w:color="000000"/>
            </w:tcBorders>
            <w:tcMar>
              <w:top w:w="0" w:type="dxa"/>
              <w:left w:w="0" w:type="dxa"/>
              <w:right w:w="0" w:type="dxa"/>
            </w:tcMar>
            <w:vAlign w:val="center"/>
          </w:tcPr>
          <w:p>
            <w:pPr>
              <w:pStyle w:val="TableContents"/>
              <w:bidi w:val="0"/>
              <w:jc w:val="center"/>
              <w:rPr>
                <w:rFonts w:ascii="Arial" w:hAnsi="Arial"/>
                <w:b/>
                <w:color w:val="000000"/>
                <w:sz w:val="19"/>
              </w:rPr>
            </w:pPr>
            <w:r>
              <w:rPr>
                <w:rFonts w:ascii="Arial" w:hAnsi="Arial"/>
                <w:b/>
                <w:color w:val="000000"/>
                <w:sz w:val="19"/>
              </w:rPr>
              <w:t>Filed/</w:t>
            </w:r>
          </w:p>
          <w:p>
            <w:pPr>
              <w:pStyle w:val="TableContents"/>
              <w:bidi w:val="0"/>
              <w:spacing w:before="0" w:after="283"/>
              <w:jc w:val="center"/>
              <w:rPr>
                <w:rFonts w:ascii="Arial" w:hAnsi="Arial"/>
                <w:b/>
                <w:color w:val="000000"/>
                <w:sz w:val="19"/>
              </w:rPr>
            </w:pPr>
            <w:r>
              <w:rPr>
                <w:rFonts w:ascii="Arial" w:hAnsi="Arial"/>
                <w:b/>
                <w:color w:val="000000"/>
                <w:sz w:val="19"/>
              </w:rPr>
              <w:t>Furnished Herewith</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19"/>
                  <w:u w:val="single"/>
                </w:rPr>
                <w:t>Amended and Restated Certificate of Incorporation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May 28, 2021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19"/>
                  <w:u w:val="single"/>
                </w:rPr>
                <w:t>Amendment to Amended and Restated Certificate of Incorporation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August 7,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19"/>
                  <w:u w:val="single"/>
                </w:rPr>
                <w:t>Amended and Restated Bylaws of Paymentus Holdings,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001-40429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November 14, 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1_1.htm">
              <w:r>
                <w:rPr>
                  <w:rStyle w:val="InternetLink"/>
                  <w:rFonts w:ascii="Arial" w:hAnsi="Arial"/>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1_2.htm">
              <w:r>
                <w:rPr>
                  <w:rStyle w:val="InternetLink"/>
                  <w:rFonts w:ascii="Arial" w:hAnsi="Arial"/>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2_1.htm">
              <w:r>
                <w:rPr>
                  <w:rStyle w:val="InternetLink"/>
                  <w:rFonts w:ascii="Arial" w:hAnsi="Arial"/>
                  <w:color w:val="0000FF"/>
                  <w:sz w:val="19"/>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pPr>
            <w:hyperlink w:anchor="pay-ex32_2.htm">
              <w:r>
                <w:rPr>
                  <w:rStyle w:val="InternetLink"/>
                  <w:rFonts w:ascii="Arial" w:hAnsi="Arial"/>
                  <w:color w:val="0000FF"/>
                  <w:sz w:val="19"/>
                  <w:u w:val="single"/>
                </w:rPr>
                <w:t>Certification of Principal Financial Officer Pursuant to 18 U.S.C. Section 1350, as Adopted Pursuant to Section 906 of the Sarbanes-Oxley Act of 2002.</w:t>
              </w:r>
            </w:hyperlink>
            <w:hyperlink w:anchor="pay-ex32_2.htm">
              <w:r>
                <w:rPr>
                  <w:rStyle w:val="InternetLink"/>
                  <w:rFonts w:ascii="Times New Roman" w:hAnsi="Times New Roman"/>
                  <w:color w:val="0000FF"/>
                  <w:sz w:val="19"/>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X</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X</w:t>
            </w:r>
          </w:p>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X</w:t>
            </w:r>
          </w:p>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X</w:t>
            </w:r>
          </w:p>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X</w:t>
            </w:r>
          </w:p>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X</w:t>
            </w:r>
          </w:p>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X</w:t>
            </w:r>
          </w:p>
          <w:p>
            <w:pPr>
              <w:pStyle w:val="TableContents"/>
              <w:bidi w:val="0"/>
              <w:spacing w:before="0" w:after="283"/>
              <w:jc w:val="left"/>
              <w:rPr/>
            </w:pPr>
            <w:r>
              <w:rPr/>
              <w:t> </w:t>
            </w:r>
          </w:p>
        </w:tc>
      </w:tr>
      <w:tr>
        <w:trPr/>
        <w:tc>
          <w:tcPr>
            <w:tcW w:w="8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X</w:t>
            </w:r>
          </w:p>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Arial" w:hAnsi="Arial"/>
          <w:color w:val="000000"/>
          <w:sz w:val="20"/>
        </w:rPr>
        <w:t>+ Indicates a management contract or compensatory plan or arrangement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12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3" w:name="signatures"/>
      <w:bookmarkEnd w:id="23"/>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229" w:type="dxa"/>
        <w:jc w:val="left"/>
        <w:tblInd w:w="0" w:type="dxa"/>
        <w:tblLayout w:type="fixed"/>
        <w:tblCellMar>
          <w:top w:w="28" w:type="dxa"/>
          <w:left w:w="28" w:type="dxa"/>
          <w:bottom w:w="28" w:type="dxa"/>
          <w:right w:w="28" w:type="dxa"/>
        </w:tblCellMar>
      </w:tblPr>
      <w:tblGrid>
        <w:gridCol w:w="1966"/>
        <w:gridCol w:w="146"/>
        <w:gridCol w:w="406"/>
        <w:gridCol w:w="47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PAYMENTUS HOLDINGS, INC.</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Dushyant Sharma</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Dushyant Sharma</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Chairman, President and Chief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(Principal Executive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4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Sanjay Kalra</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Sanjay Kalra</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Senior Vice President and Chief Financial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(Principal Financial and Accounting Officer)</w:t>
            </w:r>
          </w:p>
        </w:tc>
      </w:tr>
    </w:tbl>
    <w:p>
      <w:pPr>
        <w:pStyle w:val="TextBody"/>
        <w:bidi w:val="0"/>
        <w:spacing w:before="12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4" w:name="pay-ex31_1.htm"/>
      <w:bookmarkStart w:id="25" w:name="kspayex31_1"/>
      <w:bookmarkEnd w:id="24"/>
      <w:bookmarkEnd w:id="25"/>
      <w:r>
        <w:rPr/>
        <w:t> </w:t>
      </w:r>
      <w:r>
        <w:br w:type="page"/>
      </w:r>
    </w:p>
    <w:p>
      <w:pPr>
        <w:pStyle w:val="TextBody"/>
        <w:bidi w:val="0"/>
        <w:spacing w:before="0" w:after="160"/>
        <w:jc w:val="left"/>
        <w:rPr>
          <w:rFonts w:ascii="Arial" w:hAnsi="Arial"/>
          <w:b/>
          <w:color w:val="000000"/>
          <w:sz w:val="18"/>
        </w:rPr>
      </w:pPr>
      <w:r>
        <w:rPr>
          <w:rFonts w:ascii="Arial" w:hAnsi="Arial"/>
          <w:b/>
          <w:color w:val="000000"/>
          <w:sz w:val="18"/>
        </w:rPr>
        <w:t>Exhibit 31.1</w:t>
      </w:r>
    </w:p>
    <w:p>
      <w:pPr>
        <w:pStyle w:val="TextBody"/>
        <w:bidi w:val="0"/>
        <w:jc w:val="center"/>
        <w:rPr>
          <w:rFonts w:ascii="Times New Roman" w:hAnsi="Times New Roman"/>
          <w:sz w:val="20"/>
        </w:rPr>
      </w:pPr>
      <w:r>
        <w:rPr>
          <w:rFonts w:ascii="Arial" w:hAnsi="Arial"/>
          <w:b/>
          <w:color w:val="000000"/>
          <w:sz w:val="18"/>
        </w:rPr>
        <w:t>CERTIFICATION PURSUANT</w:t>
      </w:r>
      <w:r>
        <w:rPr>
          <w:rFonts w:ascii="Times New Roman" w:hAnsi="Times New Roman"/>
          <w:color w:val="000000"/>
          <w:sz w:val="20"/>
        </w:rPr>
        <w:t xml:space="preserve"> </w:t>
      </w:r>
    </w:p>
    <w:p>
      <w:pPr>
        <w:pStyle w:val="TextBody"/>
        <w:bidi w:val="0"/>
        <w:jc w:val="center"/>
        <w:rPr>
          <w:rFonts w:ascii="Arial" w:hAnsi="Arial"/>
          <w:b/>
          <w:color w:val="000000"/>
          <w:sz w:val="18"/>
        </w:rPr>
      </w:pPr>
      <w:r>
        <w:rPr>
          <w:rFonts w:ascii="Arial" w:hAnsi="Arial"/>
          <w:b/>
          <w:color w:val="000000"/>
          <w:sz w:val="18"/>
        </w:rPr>
        <w:t>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color w:val="000000"/>
          <w:sz w:val="18"/>
        </w:rPr>
        <w:t>I, Dushyant Sharma, certify that:</w:t>
      </w:r>
      <w:r>
        <w:rPr>
          <w:rFonts w:ascii="Times New Roman" w:hAnsi="Times New Roman"/>
          <w:color w:val="000000"/>
          <w:sz w:val="20"/>
        </w:rPr>
        <w:t xml:space="preserve"> </w:t>
      </w:r>
    </w:p>
    <w:p>
      <w:pPr>
        <w:pStyle w:val="TextBody"/>
        <w:bidi w:val="0"/>
        <w:spacing w:before="0" w:after="240"/>
        <w:jc w:val="left"/>
        <w:rPr>
          <w:rFonts w:ascii="Arial" w:hAnsi="Arial"/>
          <w:color w:val="000000"/>
          <w:sz w:val="18"/>
        </w:rPr>
      </w:pPr>
      <w:r>
        <w:rPr>
          <w:rFonts w:ascii="Arial" w:hAnsi="Arial"/>
          <w:color w:val="000000"/>
          <w:sz w:val="18"/>
        </w:rPr>
        <w:t>1.</w:t>
      </w:r>
    </w:p>
    <w:p>
      <w:pPr>
        <w:pStyle w:val="TextBody"/>
        <w:bidi w:val="0"/>
        <w:spacing w:before="0" w:after="240"/>
        <w:jc w:val="left"/>
        <w:rPr>
          <w:rFonts w:ascii="Arial" w:hAnsi="Arial"/>
          <w:color w:val="000000"/>
          <w:sz w:val="18"/>
        </w:rPr>
      </w:pPr>
      <w:r>
        <w:rPr>
          <w:rFonts w:ascii="Arial" w:hAnsi="Arial"/>
          <w:color w:val="000000"/>
          <w:sz w:val="18"/>
        </w:rPr>
        <w:t>I have reviewed this Quarterly Report on Form 10-Q of Paymentus Holdings, Inc.;</w:t>
      </w:r>
    </w:p>
    <w:p>
      <w:pPr>
        <w:pStyle w:val="TextBody"/>
        <w:bidi w:val="0"/>
        <w:spacing w:before="0" w:after="160"/>
        <w:jc w:val="left"/>
        <w:rPr>
          <w:rFonts w:ascii="Arial" w:hAnsi="Arial"/>
          <w:color w:val="000000"/>
          <w:sz w:val="18"/>
        </w:rPr>
      </w:pPr>
      <w:r>
        <w:rPr>
          <w:rFonts w:ascii="Arial" w:hAnsi="Arial"/>
          <w:color w:val="000000"/>
          <w:sz w:val="18"/>
        </w:rPr>
        <w:t>2.</w:t>
      </w:r>
    </w:p>
    <w:p>
      <w:pPr>
        <w:pStyle w:val="TextBody"/>
        <w:bidi w:val="0"/>
        <w:spacing w:before="0" w:after="160"/>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jc w:val="left"/>
        <w:rPr>
          <w:rFonts w:ascii="Arial" w:hAnsi="Arial"/>
          <w:color w:val="000000"/>
          <w:sz w:val="18"/>
        </w:rPr>
      </w:pPr>
      <w:r>
        <w:rPr>
          <w:rFonts w:ascii="Arial" w:hAnsi="Arial"/>
          <w:color w:val="000000"/>
          <w:sz w:val="18"/>
        </w:rPr>
        <w:t>3.</w:t>
      </w:r>
    </w:p>
    <w:p>
      <w:pPr>
        <w:pStyle w:val="TextBody"/>
        <w:bidi w:val="0"/>
        <w:spacing w:before="0" w:after="160"/>
        <w:jc w:val="left"/>
        <w:rPr>
          <w:rFonts w:ascii="Arial" w:hAnsi="Arial"/>
          <w:color w:val="000000"/>
          <w:sz w:val="18"/>
        </w:rPr>
      </w:pPr>
      <w:r>
        <w:rPr>
          <w:rFonts w:ascii="Arial" w:hAnsi="Arial"/>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160"/>
        <w:jc w:val="left"/>
        <w:rPr>
          <w:rFonts w:ascii="Arial" w:hAnsi="Arial"/>
          <w:color w:val="000000"/>
          <w:sz w:val="18"/>
        </w:rPr>
      </w:pPr>
      <w:r>
        <w:rPr>
          <w:rFonts w:ascii="Arial" w:hAnsi="Arial"/>
          <w:color w:val="000000"/>
          <w:sz w:val="18"/>
        </w:rPr>
        <w:t>4.</w:t>
      </w:r>
    </w:p>
    <w:p>
      <w:pPr>
        <w:pStyle w:val="TextBody"/>
        <w:bidi w:val="0"/>
        <w:spacing w:before="0" w:after="160"/>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5.</w:t>
      </w:r>
    </w:p>
    <w:p>
      <w:pPr>
        <w:pStyle w:val="TextBody"/>
        <w:bidi w:val="0"/>
        <w:spacing w:before="0" w:after="160"/>
        <w:jc w:val="left"/>
        <w:rPr>
          <w:rFonts w:ascii="Arial" w:hAnsi="Arial"/>
          <w:color w:val="000000"/>
          <w:sz w:val="18"/>
        </w:rPr>
      </w:pPr>
      <w:r>
        <w:rPr>
          <w:rFonts w:ascii="Arial" w:hAnsi="Arial"/>
          <w:color w:val="000000"/>
          <w:sz w:val="18"/>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629" w:type="dxa"/>
        <w:jc w:val="left"/>
        <w:tblInd w:w="0" w:type="dxa"/>
        <w:tblLayout w:type="fixed"/>
        <w:tblCellMar>
          <w:top w:w="28" w:type="dxa"/>
          <w:left w:w="28" w:type="dxa"/>
          <w:bottom w:w="28" w:type="dxa"/>
          <w:right w:w="28" w:type="dxa"/>
        </w:tblCellMar>
      </w:tblPr>
      <w:tblGrid>
        <w:gridCol w:w="1831"/>
        <w:gridCol w:w="146"/>
        <w:gridCol w:w="361"/>
        <w:gridCol w:w="42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 xml:space="preserve">/s/ </w:t>
            </w:r>
            <w:r>
              <w:rPr>
                <w:rFonts w:ascii="Arial" w:hAnsi="Arial"/>
                <w:i/>
                <w:color w:val="000000"/>
                <w:sz w:val="18"/>
              </w:rPr>
              <w:t>Dushyant Sharma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Dushyant Sharma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Chairman, President and Chief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pay-ex31_2.htm"/>
      <w:bookmarkStart w:id="27" w:name="kspayex31_2"/>
      <w:bookmarkEnd w:id="26"/>
      <w:bookmarkEnd w:id="27"/>
      <w:r>
        <w:rPr/>
        <w:t> </w:t>
      </w:r>
      <w:r>
        <w:br w:type="page"/>
      </w:r>
    </w:p>
    <w:p>
      <w:pPr>
        <w:pStyle w:val="TextBody"/>
        <w:bidi w:val="0"/>
        <w:spacing w:before="0" w:after="160"/>
        <w:jc w:val="right"/>
        <w:rPr>
          <w:rFonts w:ascii="Times New Roman" w:hAnsi="Times New Roman"/>
          <w:sz w:val="20"/>
        </w:rPr>
      </w:pPr>
      <w:r>
        <w:rPr>
          <w:rFonts w:ascii="Arial" w:hAnsi="Arial"/>
          <w:b/>
          <w:color w:val="000000"/>
          <w:sz w:val="18"/>
        </w:rPr>
        <w:t>Exhibit 31.2</w:t>
      </w:r>
      <w:r>
        <w:rPr>
          <w:rFonts w:ascii="Times New Roman" w:hAnsi="Times New Roman"/>
          <w:color w:val="000000"/>
          <w:sz w:val="20"/>
        </w:rPr>
        <w:t xml:space="preserve"> </w:t>
      </w:r>
    </w:p>
    <w:p>
      <w:pPr>
        <w:pStyle w:val="TextBody"/>
        <w:bidi w:val="0"/>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SECTION 302 OF THE SARBANES-OXLEY ACT OF 2002</w:t>
      </w:r>
    </w:p>
    <w:p>
      <w:pPr>
        <w:pStyle w:val="TextBody"/>
        <w:bidi w:val="0"/>
        <w:jc w:val="center"/>
        <w:rPr/>
      </w:pPr>
      <w:r>
        <w:rPr/>
        <w:t> </w:t>
      </w:r>
    </w:p>
    <w:p>
      <w:pPr>
        <w:pStyle w:val="TextBody"/>
        <w:bidi w:val="0"/>
        <w:spacing w:before="0" w:after="240"/>
        <w:jc w:val="left"/>
        <w:rPr>
          <w:rFonts w:ascii="Times New Roman" w:hAnsi="Times New Roman"/>
          <w:sz w:val="20"/>
        </w:rPr>
      </w:pPr>
      <w:r>
        <w:rPr>
          <w:rFonts w:ascii="Arial" w:hAnsi="Arial"/>
          <w:color w:val="000000"/>
          <w:sz w:val="18"/>
        </w:rPr>
        <w:t>I, Sanjay Kalra, certify that:</w:t>
      </w:r>
      <w:r>
        <w:rPr>
          <w:rFonts w:ascii="Times New Roman" w:hAnsi="Times New Roman"/>
          <w:color w:val="000000"/>
          <w:sz w:val="20"/>
        </w:rPr>
        <w:t xml:space="preserve"> </w:t>
      </w:r>
    </w:p>
    <w:p>
      <w:pPr>
        <w:pStyle w:val="TextBody"/>
        <w:bidi w:val="0"/>
        <w:spacing w:before="0" w:after="240"/>
        <w:jc w:val="left"/>
        <w:rPr>
          <w:rFonts w:ascii="Arial" w:hAnsi="Arial"/>
          <w:color w:val="000000"/>
          <w:sz w:val="18"/>
        </w:rPr>
      </w:pPr>
      <w:r>
        <w:rPr>
          <w:rFonts w:ascii="Arial" w:hAnsi="Arial"/>
          <w:color w:val="000000"/>
          <w:sz w:val="18"/>
        </w:rPr>
        <w:t>1.</w:t>
      </w:r>
    </w:p>
    <w:p>
      <w:pPr>
        <w:pStyle w:val="TextBody"/>
        <w:bidi w:val="0"/>
        <w:spacing w:before="0" w:after="240"/>
        <w:jc w:val="left"/>
        <w:rPr>
          <w:rFonts w:ascii="Arial" w:hAnsi="Arial"/>
          <w:color w:val="000000"/>
          <w:sz w:val="18"/>
        </w:rPr>
      </w:pPr>
      <w:r>
        <w:rPr>
          <w:rFonts w:ascii="Arial" w:hAnsi="Arial"/>
          <w:color w:val="000000"/>
          <w:sz w:val="18"/>
        </w:rPr>
        <w:t>I have reviewed this Quarterly Report on Form 10-Q of Paymentus Holdings, Inc.;</w:t>
      </w:r>
    </w:p>
    <w:p>
      <w:pPr>
        <w:pStyle w:val="TextBody"/>
        <w:bidi w:val="0"/>
        <w:spacing w:before="0" w:after="160"/>
        <w:jc w:val="left"/>
        <w:rPr>
          <w:rFonts w:ascii="Arial" w:hAnsi="Arial"/>
          <w:color w:val="000000"/>
          <w:sz w:val="18"/>
        </w:rPr>
      </w:pPr>
      <w:r>
        <w:rPr>
          <w:rFonts w:ascii="Arial" w:hAnsi="Arial"/>
          <w:color w:val="000000"/>
          <w:sz w:val="18"/>
        </w:rPr>
        <w:t>2.</w:t>
      </w:r>
    </w:p>
    <w:p>
      <w:pPr>
        <w:pStyle w:val="TextBody"/>
        <w:bidi w:val="0"/>
        <w:spacing w:before="0" w:after="160"/>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jc w:val="left"/>
        <w:rPr>
          <w:rFonts w:ascii="Arial" w:hAnsi="Arial"/>
          <w:color w:val="000000"/>
          <w:sz w:val="18"/>
        </w:rPr>
      </w:pPr>
      <w:r>
        <w:rPr>
          <w:rFonts w:ascii="Arial" w:hAnsi="Arial"/>
          <w:color w:val="000000"/>
          <w:sz w:val="18"/>
        </w:rPr>
        <w:t>3.</w:t>
      </w:r>
    </w:p>
    <w:p>
      <w:pPr>
        <w:pStyle w:val="TextBody"/>
        <w:bidi w:val="0"/>
        <w:spacing w:before="0" w:after="160"/>
        <w:jc w:val="left"/>
        <w:rPr>
          <w:rFonts w:ascii="Arial" w:hAnsi="Arial"/>
          <w:color w:val="000000"/>
          <w:sz w:val="18"/>
        </w:rPr>
      </w:pPr>
      <w:r>
        <w:rPr>
          <w:rFonts w:ascii="Arial" w:hAnsi="Arial"/>
          <w:color w:val="000000"/>
          <w:sz w:val="18"/>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160"/>
        <w:jc w:val="left"/>
        <w:rPr>
          <w:rFonts w:ascii="Arial" w:hAnsi="Arial"/>
          <w:color w:val="000000"/>
          <w:sz w:val="18"/>
        </w:rPr>
      </w:pPr>
      <w:r>
        <w:rPr>
          <w:rFonts w:ascii="Arial" w:hAnsi="Arial"/>
          <w:color w:val="000000"/>
          <w:sz w:val="18"/>
        </w:rPr>
        <w:t>4.</w:t>
      </w:r>
    </w:p>
    <w:p>
      <w:pPr>
        <w:pStyle w:val="TextBody"/>
        <w:bidi w:val="0"/>
        <w:spacing w:before="0" w:after="160"/>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60"/>
        <w:jc w:val="left"/>
        <w:rPr>
          <w:rFonts w:ascii="Times New Roman" w:hAnsi="Times New Roman"/>
          <w:sz w:val="20"/>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60"/>
        <w:jc w:val="left"/>
        <w:rPr>
          <w:rFonts w:ascii="Times New Roman" w:hAnsi="Times New Roman"/>
          <w:sz w:val="20"/>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60"/>
        <w:jc w:val="left"/>
        <w:rPr>
          <w:rFonts w:ascii="Arial" w:hAnsi="Arial"/>
          <w:color w:val="000000"/>
          <w:sz w:val="18"/>
        </w:rPr>
      </w:pPr>
      <w:r>
        <w:rPr>
          <w:rFonts w:ascii="Arial" w:hAnsi="Arial"/>
          <w:color w:val="000000"/>
          <w:sz w:val="18"/>
        </w:rPr>
        <w:t>5.</w:t>
      </w:r>
    </w:p>
    <w:p>
      <w:pPr>
        <w:pStyle w:val="TextBody"/>
        <w:bidi w:val="0"/>
        <w:spacing w:before="0" w:after="160"/>
        <w:jc w:val="left"/>
        <w:rPr>
          <w:rFonts w:ascii="Arial" w:hAnsi="Arial"/>
          <w:color w:val="000000"/>
          <w:sz w:val="18"/>
        </w:rPr>
      </w:pPr>
      <w:r>
        <w:rPr>
          <w:rFonts w:ascii="Arial" w:hAnsi="Arial"/>
          <w:color w:val="000000"/>
          <w:sz w:val="18"/>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60"/>
        <w:jc w:val="left"/>
        <w:rPr>
          <w:rFonts w:ascii="Times New Roman" w:hAnsi="Times New Roman"/>
          <w:sz w:val="20"/>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480"/>
        <w:jc w:val="left"/>
        <w:rPr>
          <w:rFonts w:ascii="Times New Roman" w:hAnsi="Times New Roman"/>
          <w:sz w:val="20"/>
        </w:rPr>
      </w:pPr>
      <w:r>
        <w:rPr>
          <w:rFonts w:ascii="Arial" w:hAnsi="Arial"/>
          <w:color w:val="000000"/>
          <w:sz w:val="18"/>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629" w:type="dxa"/>
        <w:jc w:val="left"/>
        <w:tblInd w:w="0" w:type="dxa"/>
        <w:tblLayout w:type="fixed"/>
        <w:tblCellMar>
          <w:top w:w="28" w:type="dxa"/>
          <w:left w:w="28" w:type="dxa"/>
          <w:bottom w:w="28" w:type="dxa"/>
          <w:right w:w="28" w:type="dxa"/>
        </w:tblCellMar>
      </w:tblPr>
      <w:tblGrid>
        <w:gridCol w:w="1831"/>
        <w:gridCol w:w="146"/>
        <w:gridCol w:w="361"/>
        <w:gridCol w:w="42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Sanjay Kalra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Vice President and Chief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spacing w:before="0" w:after="48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pay-ex32_1.htm"/>
      <w:bookmarkStart w:id="29" w:name="kspayex32_1"/>
      <w:bookmarkEnd w:id="28"/>
      <w:bookmarkEnd w:id="29"/>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Paymentus Holdings, Inc. (the “Company”) for the three and six months ended June 30, 2026 as filed with the Securities and Exchange Commission on the date hereof (the “Report”), I certify, pursuant to 18 U.S.C. § 1350, as adopted pursuant to § 906 of the Sarbanes-Oxley Act of 2002, that, to the best of my knowledge and belief:</w:t>
      </w:r>
    </w:p>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340"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18"/>
              </w:rPr>
            </w:pPr>
            <w:r>
              <w:rPr>
                <w:rFonts w:ascii="Arial" w:hAnsi="Arial"/>
                <w:color w:val="000000"/>
                <w:sz w:val="18"/>
              </w:rPr>
              <w:t>(1)</w:t>
            </w:r>
          </w:p>
        </w:tc>
        <w:tc>
          <w:tcPr>
            <w:tcW w:w="9865"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
        <w:gridCol w:w="146"/>
        <w:gridCol w:w="9738"/>
      </w:tblGrid>
      <w:tr>
        <w:trPr/>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321"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18"/>
              </w:rPr>
            </w:pPr>
            <w:r>
              <w:rPr>
                <w:rFonts w:ascii="Arial" w:hAnsi="Arial"/>
                <w:color w:val="000000"/>
                <w:sz w:val="18"/>
              </w:rPr>
              <w:t>(2)</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9738"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 as of and for the periods presented in the Report.</w:t>
            </w:r>
          </w:p>
        </w:tc>
      </w:tr>
    </w:tbl>
    <w:tbl>
      <w:tblPr>
        <w:tblW w:w="4889" w:type="dxa"/>
        <w:jc w:val="left"/>
        <w:tblInd w:w="0" w:type="dxa"/>
        <w:tblLayout w:type="fixed"/>
        <w:tblCellMar>
          <w:top w:w="28" w:type="dxa"/>
          <w:left w:w="28" w:type="dxa"/>
          <w:bottom w:w="28" w:type="dxa"/>
          <w:right w:w="28" w:type="dxa"/>
        </w:tblCellMar>
      </w:tblPr>
      <w:tblGrid>
        <w:gridCol w:w="1831"/>
        <w:gridCol w:w="146"/>
        <w:gridCol w:w="361"/>
        <w:gridCol w:w="255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25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 xml:space="preserve">/s/ </w:t>
            </w:r>
            <w:r>
              <w:rPr>
                <w:rFonts w:ascii="Arial" w:hAnsi="Arial"/>
                <w:i/>
                <w:color w:val="000000"/>
                <w:sz w:val="18"/>
              </w:rPr>
              <w:t>Dushyant Sharma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Dushyant Sharma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Chairman, President and,</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pay-ex32_2.htm"/>
      <w:bookmarkStart w:id="31" w:name="kspayex32_2"/>
      <w:bookmarkEnd w:id="30"/>
      <w:bookmarkEnd w:id="31"/>
      <w:r>
        <w:rPr/>
        <w:t> </w:t>
      </w:r>
      <w:r>
        <w:br w:type="page"/>
      </w:r>
    </w:p>
    <w:p>
      <w:pPr>
        <w:pStyle w:val="TextBody"/>
        <w:bidi w:val="0"/>
        <w:jc w:val="right"/>
        <w:rPr>
          <w:rFonts w:ascii="Arial" w:hAnsi="Arial"/>
          <w:b/>
          <w:color w:val="000000"/>
          <w:sz w:val="18"/>
        </w:rPr>
      </w:pPr>
      <w:r>
        <w:rPr>
          <w:rFonts w:ascii="Arial" w:hAnsi="Arial"/>
          <w:b/>
          <w:color w:val="000000"/>
          <w:sz w:val="18"/>
        </w:rPr>
        <w:t>Exhibit 32.2</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Paymentus Holdings, Inc. (the “Company”) for the three and six months ended June 30, 2026 as filed with the Securities and Exchange Commission on the date hereof (the “Report”), I certify, pursuant to 18 U.S.C. § 1350, as adopted pursuant to § 906 of the Sarbanes-Oxley Act of 2002, that, to the best of my knowledge and belief:</w:t>
      </w:r>
    </w:p>
    <w:tbl>
      <w:tblPr>
        <w:tblW w:w="10205" w:type="dxa"/>
        <w:jc w:val="left"/>
        <w:tblInd w:w="0" w:type="dxa"/>
        <w:tblLayout w:type="fixed"/>
        <w:tblCellMar>
          <w:top w:w="28" w:type="dxa"/>
          <w:left w:w="28" w:type="dxa"/>
          <w:bottom w:w="28" w:type="dxa"/>
          <w:right w:w="28" w:type="dxa"/>
        </w:tblCellMar>
      </w:tblPr>
      <w:tblGrid>
        <w:gridCol w:w="340"/>
        <w:gridCol w:w="9865"/>
      </w:tblGrid>
      <w:tr>
        <w:trPr/>
        <w:tc>
          <w:tcPr>
            <w:tcW w:w="340"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340"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18"/>
              </w:rPr>
            </w:pPr>
            <w:r>
              <w:rPr>
                <w:rFonts w:ascii="Arial" w:hAnsi="Arial"/>
                <w:color w:val="000000"/>
                <w:sz w:val="18"/>
              </w:rPr>
              <w:t>(1)</w:t>
            </w:r>
          </w:p>
        </w:tc>
        <w:tc>
          <w:tcPr>
            <w:tcW w:w="9865"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1"/>
        <w:gridCol w:w="146"/>
        <w:gridCol w:w="9738"/>
      </w:tblGrid>
      <w:tr>
        <w:trPr/>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321"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18"/>
              </w:rPr>
            </w:pPr>
            <w:r>
              <w:rPr>
                <w:rFonts w:ascii="Arial" w:hAnsi="Arial"/>
                <w:color w:val="000000"/>
                <w:sz w:val="18"/>
              </w:rPr>
              <w:t>(2)</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9738" w:type="dxa"/>
            <w:tcBorders/>
            <w:tcMar>
              <w:top w:w="0" w:type="dxa"/>
              <w:left w:w="0" w:type="dxa"/>
              <w:bottom w:w="0" w:type="dxa"/>
              <w:right w:w="0" w:type="dxa"/>
            </w:tcMar>
            <w:vAlign w:val="center"/>
          </w:tcPr>
          <w:p>
            <w:pPr>
              <w:pStyle w:val="TableContents"/>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 as of and for the periods presented in the Report.</w:t>
            </w:r>
          </w:p>
        </w:tc>
      </w:tr>
    </w:tbl>
    <w:tbl>
      <w:tblPr>
        <w:tblW w:w="6629" w:type="dxa"/>
        <w:jc w:val="left"/>
        <w:tblInd w:w="0" w:type="dxa"/>
        <w:tblLayout w:type="fixed"/>
        <w:tblCellMar>
          <w:top w:w="28" w:type="dxa"/>
          <w:left w:w="28" w:type="dxa"/>
          <w:bottom w:w="28" w:type="dxa"/>
          <w:right w:w="28" w:type="dxa"/>
        </w:tblCellMar>
      </w:tblPr>
      <w:tblGrid>
        <w:gridCol w:w="1831"/>
        <w:gridCol w:w="146"/>
        <w:gridCol w:w="361"/>
        <w:gridCol w:w="42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Sanjay Kalra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Sanjay Kalra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Senior Vice President and Chief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i/>
                <w:color w:val="000000"/>
                <w:sz w:val="18"/>
              </w:rPr>
            </w:pPr>
            <w:r>
              <w:rPr>
                <w:rFonts w:ascii="Arial" w:hAnsi="Arial"/>
                <w:b/>
                <w:i/>
                <w:color w:val="000000"/>
                <w:sz w:val="18"/>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156/000156459021030840/ck7045120534-ex31_9.htm" TargetMode="External"/><Relationship Id="rId3" Type="http://schemas.openxmlformats.org/officeDocument/2006/relationships/hyperlink" Target="https://www.sec.gov/Archives/edgar/data/1841156/000095017023039173/pay-ex3_1.htm" TargetMode="External"/><Relationship Id="rId4" Type="http://schemas.openxmlformats.org/officeDocument/2006/relationships/hyperlink" Target="https://www.sec.gov/Archives/edgar/data/1841156/000095017022025091/pay-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13990</Words>
  <Characters>78942</Characters>
  <CharactersWithSpaces>92953</CharactersWithSpaces>
  <Paragraphs>4172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