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ind w:left="3880" w:right="1640" w:hanging="3859"/>
        <w:spacing w:after="0" w:line="268" w:lineRule="auto"/>
        <w:tabs>
          <w:tab w:leader="none" w:pos="4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31"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3" w:lineRule="exact"/>
        <w:rPr>
          <w:sz w:val="24"/>
          <w:szCs w:val="24"/>
          <w:color w:val="auto"/>
        </w:rPr>
      </w:pPr>
    </w:p>
    <w:p>
      <w:pPr>
        <w:ind w:left="3700"/>
        <w:spacing w:after="0"/>
        <w:tabs>
          <w:tab w:leader="none" w:pos="6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jc w:val="center"/>
              <w:ind w:left="774"/>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tcPr>
          <w:p>
            <w:pPr>
              <w:jc w:val="right"/>
              <w:ind w:right="2295"/>
              <w:spacing w:after="0"/>
              <w:rPr>
                <w:sz w:val="20"/>
                <w:szCs w:val="20"/>
                <w:color w:val="auto"/>
              </w:rPr>
            </w:pPr>
            <w:r>
              <w:rPr>
                <w:rFonts w:ascii="Arial" w:cs="Arial" w:eastAsia="Arial" w:hAnsi="Arial"/>
                <w:sz w:val="18"/>
                <w:szCs w:val="18"/>
                <w:b w:val="1"/>
                <w:bCs w:val="1"/>
                <w:color w:val="auto"/>
              </w:rPr>
              <w:t>45-3188251</w:t>
            </w:r>
          </w:p>
        </w:tc>
        <w:tc>
          <w:tcPr>
            <w:tcW w:w="0" w:type="dxa"/>
            <w:vAlign w:val="bottom"/>
          </w:tcPr>
          <w:p>
            <w:pPr>
              <w:spacing w:after="0"/>
              <w:rPr>
                <w:sz w:val="1"/>
                <w:szCs w:val="1"/>
                <w:color w:val="auto"/>
              </w:rPr>
            </w:pPr>
          </w:p>
        </w:tc>
      </w:tr>
      <w:tr>
        <w:trPr>
          <w:trHeight w:val="225"/>
        </w:trPr>
        <w:tc>
          <w:tcPr>
            <w:tcW w:w="4780" w:type="dxa"/>
            <w:vAlign w:val="bottom"/>
            <w:gridSpan w:val="3"/>
          </w:tcPr>
          <w:p>
            <w:pPr>
              <w:jc w:val="center"/>
              <w:ind w:left="774"/>
              <w:spacing w:after="0"/>
              <w:rPr>
                <w:sz w:val="20"/>
                <w:szCs w:val="20"/>
                <w:color w:val="auto"/>
              </w:rPr>
            </w:pPr>
            <w:r>
              <w:rPr>
                <w:rFonts w:ascii="Arial" w:cs="Arial" w:eastAsia="Arial" w:hAnsi="Arial"/>
                <w:sz w:val="18"/>
                <w:szCs w:val="18"/>
                <w:b w:val="1"/>
                <w:bCs w:val="1"/>
                <w:color w:val="auto"/>
                <w:w w:val="90"/>
              </w:rPr>
              <w:t>(State or other jurisdiction of</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40" w:type="dxa"/>
            <w:vAlign w:val="bottom"/>
          </w:tcPr>
          <w:p>
            <w:pPr>
              <w:jc w:val="center"/>
              <w:ind w:right="495"/>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780" w:type="dxa"/>
            <w:vAlign w:val="bottom"/>
            <w:gridSpan w:val="3"/>
          </w:tcPr>
          <w:p>
            <w:pPr>
              <w:jc w:val="center"/>
              <w:ind w:left="754"/>
              <w:spacing w:after="0"/>
              <w:rPr>
                <w:sz w:val="20"/>
                <w:szCs w:val="20"/>
                <w:color w:val="auto"/>
              </w:rPr>
            </w:pPr>
            <w:r>
              <w:rPr>
                <w:rFonts w:ascii="Arial" w:cs="Arial" w:eastAsia="Arial" w:hAnsi="Arial"/>
                <w:sz w:val="18"/>
                <w:szCs w:val="18"/>
                <w:b w:val="1"/>
                <w:bCs w:val="1"/>
                <w:color w:val="auto"/>
                <w:w w:val="91"/>
              </w:rPr>
              <w:t>incorporation or organization)</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tcPr>
          <w:p>
            <w:pPr>
              <w:jc w:val="center"/>
              <w:ind w:right="495"/>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25"/>
        </w:trPr>
        <w:tc>
          <w:tcPr>
            <w:tcW w:w="4780" w:type="dxa"/>
            <w:vAlign w:val="bottom"/>
            <w:gridSpan w:val="3"/>
          </w:tcPr>
          <w:p>
            <w:pPr>
              <w:jc w:val="center"/>
              <w:ind w:left="774"/>
              <w:spacing w:after="0"/>
              <w:rPr>
                <w:sz w:val="20"/>
                <w:szCs w:val="20"/>
                <w:color w:val="auto"/>
              </w:rPr>
            </w:pPr>
            <w:r>
              <w:rPr>
                <w:rFonts w:ascii="Arial" w:cs="Arial" w:eastAsia="Arial" w:hAnsi="Arial"/>
                <w:sz w:val="18"/>
                <w:szCs w:val="18"/>
                <w:b w:val="1"/>
                <w:bCs w:val="1"/>
                <w:color w:val="auto"/>
                <w:w w:val="90"/>
              </w:rPr>
              <w:t>11605 North Community House Road, Suite 300</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80" w:type="dxa"/>
            <w:vAlign w:val="bottom"/>
            <w:gridSpan w:val="3"/>
          </w:tcPr>
          <w:p>
            <w:pPr>
              <w:jc w:val="center"/>
              <w:ind w:left="774"/>
              <w:spacing w:after="0"/>
              <w:rPr>
                <w:sz w:val="20"/>
                <w:szCs w:val="20"/>
                <w:color w:val="auto"/>
              </w:rPr>
            </w:pPr>
            <w:r>
              <w:rPr>
                <w:rFonts w:ascii="Arial" w:cs="Arial" w:eastAsia="Arial" w:hAnsi="Arial"/>
                <w:sz w:val="18"/>
                <w:szCs w:val="18"/>
                <w:b w:val="1"/>
                <w:bCs w:val="1"/>
                <w:color w:val="auto"/>
                <w:w w:val="93"/>
              </w:rPr>
              <w:t>Charlotte, NC</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tcPr>
          <w:p>
            <w:pPr>
              <w:jc w:val="right"/>
              <w:ind w:right="2495"/>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243"/>
        </w:trPr>
        <w:tc>
          <w:tcPr>
            <w:tcW w:w="4780" w:type="dxa"/>
            <w:vAlign w:val="bottom"/>
            <w:gridSpan w:val="3"/>
          </w:tcPr>
          <w:p>
            <w:pPr>
              <w:jc w:val="center"/>
              <w:ind w:left="754"/>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(888) 440-4826</w:t>
            </w:r>
          </w:p>
        </w:tc>
        <w:tc>
          <w:tcPr>
            <w:tcW w:w="5040" w:type="dxa"/>
            <w:vAlign w:val="bottom"/>
          </w:tcPr>
          <w:p>
            <w:pPr>
              <w:jc w:val="center"/>
              <w:ind w:right="495"/>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324"/>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80" w:type="dxa"/>
            <w:vAlign w:val="bottom"/>
            <w:gridSpan w:val="3"/>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304"/>
              <w:spacing w:after="0"/>
              <w:rPr>
                <w:sz w:val="20"/>
                <w:szCs w:val="20"/>
                <w:color w:val="auto"/>
              </w:rPr>
            </w:pPr>
            <w:r>
              <w:rPr>
                <w:rFonts w:ascii="Arial" w:cs="Arial" w:eastAsia="Arial" w:hAnsi="Arial"/>
                <w:sz w:val="14"/>
                <w:szCs w:val="14"/>
                <w:color w:val="auto"/>
                <w:w w:val="92"/>
              </w:rPr>
              <w:t>PAY</w:t>
            </w:r>
          </w:p>
        </w:tc>
        <w:tc>
          <w:tcPr>
            <w:tcW w:w="140" w:type="dxa"/>
            <w:vAlign w:val="bottom"/>
          </w:tcPr>
          <w:p>
            <w:pPr>
              <w:spacing w:after="0"/>
              <w:rPr>
                <w:sz w:val="15"/>
                <w:szCs w:val="15"/>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right="60" w:firstLine="49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60" w:firstLine="49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60" w:firstLine="49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79" w:lineRule="exact"/>
        <w:rPr>
          <w:sz w:val="24"/>
          <w:szCs w:val="24"/>
          <w:color w:val="auto"/>
        </w:rPr>
      </w:pPr>
    </w:p>
    <w:p>
      <w:pPr>
        <w:jc w:val="both"/>
        <w:ind w:right="20" w:firstLine="49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0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2" w:lineRule="exact"/>
        <w:rPr>
          <w:sz w:val="24"/>
          <w:szCs w:val="24"/>
          <w:color w:val="auto"/>
        </w:rPr>
      </w:pPr>
    </w:p>
    <w:p>
      <w:pPr>
        <w:ind w:right="100" w:firstLine="494"/>
        <w:spacing w:after="0" w:line="277" w:lineRule="auto"/>
        <w:rPr>
          <w:sz w:val="20"/>
          <w:szCs w:val="20"/>
          <w:color w:val="auto"/>
        </w:rPr>
      </w:pPr>
      <w:r>
        <w:rPr>
          <w:rFonts w:ascii="Arial" w:cs="Arial" w:eastAsia="Arial" w:hAnsi="Arial"/>
          <w:sz w:val="18"/>
          <w:szCs w:val="18"/>
          <w:color w:val="auto"/>
        </w:rPr>
        <w:t>As of August 1, 2023, the registrant had 20,207,215 shares of Class A Common Stock, $0.0001 par value per share and 103,306,842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0"/>
                <w:szCs w:val="20"/>
                <w:color w:val="auto"/>
              </w:rPr>
            </w:pPr>
          </w:p>
        </w:tc>
      </w:tr>
      <w:tr>
        <w:trPr>
          <w:trHeight w:val="4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60" w:type="dxa"/>
            <w:vAlign w:val="bottom"/>
            <w:gridSpan w:val="14"/>
          </w:tcPr>
          <w:p>
            <w:pPr>
              <w:spacing w:after="0" w:line="189" w:lineRule="exact"/>
              <w:rPr>
                <w:sz w:val="20"/>
                <w:szCs w:val="20"/>
                <w:color w:val="auto"/>
              </w:rPr>
            </w:pPr>
            <w:r>
              <w:rPr>
                <w:rFonts w:ascii="Arial" w:cs="Arial" w:eastAsia="Arial" w:hAnsi="Arial"/>
                <w:sz w:val="18"/>
                <w:szCs w:val="18"/>
                <w:color w:val="auto"/>
              </w:rPr>
              <w:t>Special Note Regarding Forward-Looking Statements</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14"/>
          </w:tcPr>
          <w:p>
            <w:pPr>
              <w:spacing w:after="0"/>
              <w:rPr>
                <w:sz w:val="20"/>
                <w:szCs w:val="20"/>
                <w:color w:val="auto"/>
              </w:rPr>
            </w:pPr>
            <w:r>
              <w:rPr>
                <w:rFonts w:ascii="Arial" w:cs="Arial" w:eastAsia="Arial" w:hAnsi="Arial"/>
                <w:sz w:val="18"/>
                <w:szCs w:val="18"/>
                <w:color w:val="auto"/>
              </w:rPr>
              <w:t>Financial Statements (Unaudited)</w:t>
            </w:r>
          </w:p>
        </w:tc>
        <w:tc>
          <w:tcPr>
            <w:tcW w:w="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auto"/>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auto"/>
              </w:rPr>
              <w:t>Condensed Consolidated Statements of Operations and Comprehensive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auto"/>
              </w:rPr>
              <w:t>Condensed 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auto"/>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4"/>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tcBorders>
              <w:left w:val="single" w:sz="8" w:color="auto"/>
            </w:tcBorders>
            <w:gridSpan w:val="6"/>
            <w:shd w:val="clear" w:color="auto" w:fill="000000"/>
          </w:tcPr>
          <w:p>
            <w:pPr>
              <w:spacing w:after="0" w:line="20" w:lineRule="exact"/>
              <w:rPr>
                <w:sz w:val="1"/>
                <w:szCs w:val="1"/>
                <w:color w:val="auto"/>
              </w:rPr>
            </w:pPr>
          </w:p>
        </w:tc>
        <w:tc>
          <w:tcPr>
            <w:tcW w:w="2080" w:type="dxa"/>
            <w:vAlign w:val="bottom"/>
            <w:tcBorders>
              <w:left w:val="single" w:sz="8" w:color="auto"/>
            </w:tcBorders>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14"/>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tcBorders>
              <w:left w:val="single" w:sz="8" w:color="auto"/>
            </w:tcBorders>
            <w:gridSpan w:val="6"/>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4"/>
          </w:tcPr>
          <w:p>
            <w:pPr>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07"/>
        </w:trPr>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26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800" w:type="dxa"/>
            <w:vAlign w:val="bottom"/>
          </w:tcPr>
          <w:p>
            <w:pPr>
              <w:spacing w:after="0"/>
              <w:rPr>
                <w:sz w:val="24"/>
                <w:szCs w:val="24"/>
                <w:color w:val="auto"/>
              </w:rPr>
            </w:pPr>
          </w:p>
        </w:tc>
      </w:tr>
      <w:tr>
        <w:trPr>
          <w:trHeight w:val="446"/>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14"/>
          </w:tcPr>
          <w:p>
            <w:pPr>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60" w:type="dxa"/>
            <w:vAlign w:val="bottom"/>
            <w:gridSpan w:val="14"/>
          </w:tcPr>
          <w:p>
            <w:pPr>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4"/>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2040" w:type="dxa"/>
            <w:vAlign w:val="bottom"/>
            <w:tcBorders>
              <w:left w:val="single" w:sz="8" w:color="auto"/>
            </w:tcBorders>
            <w:gridSpan w:val="6"/>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14"/>
          </w:tcPr>
          <w:p>
            <w:pPr>
              <w:spacing w:after="0"/>
              <w:rPr>
                <w:sz w:val="20"/>
                <w:szCs w:val="20"/>
                <w:color w:val="auto"/>
              </w:rPr>
            </w:pPr>
            <w:r>
              <w:rPr>
                <w:rFonts w:ascii="Arial" w:cs="Arial" w:eastAsia="Arial" w:hAnsi="Arial"/>
                <w:sz w:val="18"/>
                <w:szCs w:val="18"/>
                <w:color w:val="auto"/>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4"/>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260" w:type="dxa"/>
            <w:vAlign w:val="bottom"/>
            <w:gridSpan w:val="14"/>
          </w:tcPr>
          <w:p>
            <w:pPr>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260" w:type="dxa"/>
            <w:vAlign w:val="bottom"/>
            <w:gridSpan w:val="14"/>
          </w:tcPr>
          <w:p>
            <w:pPr>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Signatures</w:t>
            </w: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885"/>
        </w:trPr>
        <w:tc>
          <w:tcPr>
            <w:tcW w:w="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gridSpan w:val="12"/>
          </w:tcPr>
          <w:p>
            <w:pPr>
              <w:jc w:val="right"/>
              <w:ind w:right="122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17"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7"/>
          <w:szCs w:val="17"/>
          <w:color w:val="auto"/>
        </w:rPr>
        <w:t>This quarterly report on Form 10-Q for the quarterly period ended June 30, 2023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0"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implement and recognize revenue from new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anticipated trends in our business and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competitive as we continue to scale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 features and enhance our platform;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including inflation, and their impact on us, consumer demand, average bill amounts and interchange fees;</w:t>
      </w:r>
    </w:p>
    <w:p>
      <w:pPr>
        <w:spacing w:after="0" w:line="128" w:lineRule="exact"/>
        <w:rPr>
          <w:rFonts w:ascii="Arial" w:cs="Arial" w:eastAsia="Arial" w:hAnsi="Arial"/>
          <w:sz w:val="17"/>
          <w:szCs w:val="17"/>
          <w:color w:val="auto"/>
        </w:rPr>
      </w:pPr>
    </w:p>
    <w:p>
      <w:pPr>
        <w:ind w:left="102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15" w:lineRule="exact"/>
        <w:rPr>
          <w:rFonts w:ascii="Arial" w:cs="Arial" w:eastAsia="Arial" w:hAnsi="Arial"/>
          <w:sz w:val="16"/>
          <w:szCs w:val="16"/>
          <w:color w:val="auto"/>
        </w:rPr>
      </w:pPr>
    </w:p>
    <w:p>
      <w:pPr>
        <w:ind w:left="102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manage and keep our information systems secure;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plans and ability to expand internationally; and</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factors described in the sections titled “Risk Factors” and “Management’s Discussion and Analysis of Financial Conditions and Results of Operations” in our Annual Report on Form 10-K for the year ended December 31, 2022 and our Quarterly Report on Form 10-Q for the quarter ended March 31, 2023, and the section titled “Management’s Discussion and Analysis of Financial Condition and Results of Operations” in this Quarterly Report.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17"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 w:name="page4"/>
    <w:bookmarkEnd w:id="3"/>
    <w:p>
      <w:pPr>
        <w:jc w:val="both"/>
        <w:ind w:firstLine="494"/>
        <w:spacing w:after="0" w:line="259"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79"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7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159,068</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147,334</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20"/>
                <w:szCs w:val="20"/>
                <w:color w:val="auto"/>
              </w:rPr>
            </w:pPr>
          </w:p>
        </w:tc>
      </w:tr>
      <w:tr>
        <w:trPr>
          <w:trHeight w:val="221"/>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Accounts and other receivables, net of allowance for expected credit losses of $122 and $370,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67,789</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241,021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228,961</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Capitalized internal-use software development costs,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53,234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46,032</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36,017</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131,866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131,851</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9,561</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475,386</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461,539</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30,545</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15,809</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4,358</w:t>
            </w:r>
          </w:p>
        </w:tc>
        <w:tc>
          <w:tcPr>
            <w:tcW w:w="14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51,261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51,496</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8,991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 less current portion</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Finance leases and other finance obligations, net of current portion</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0"/>
                <w:szCs w:val="20"/>
                <w:color w:val="auto"/>
              </w:rPr>
            </w:pPr>
          </w:p>
        </w:tc>
      </w:tr>
      <w:tr>
        <w:trPr>
          <w:trHeight w:val="236"/>
        </w:trPr>
        <w:tc>
          <w:tcPr>
            <w:tcW w:w="7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66,942</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64,360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Preferred stock, $0.0001 par value per share, 5,000,000 shares authorized as of June 30, 2023 and</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December 31, 2022, respectively; none issued and outstanding as of June 30, 2023 and December</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31, 2022, respectively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20" w:type="dxa"/>
            <w:vAlign w:val="bottom"/>
          </w:tcPr>
          <w:p>
            <w:pPr>
              <w:ind w:left="200"/>
              <w:spacing w:after="0"/>
              <w:rPr>
                <w:sz w:val="20"/>
                <w:szCs w:val="20"/>
                <w:color w:val="auto"/>
              </w:rPr>
            </w:pPr>
            <w:r>
              <w:rPr>
                <w:rFonts w:ascii="Arial" w:cs="Arial" w:eastAsia="Arial" w:hAnsi="Arial"/>
                <w:sz w:val="18"/>
                <w:szCs w:val="18"/>
                <w:color w:val="auto"/>
                <w:w w:val="93"/>
              </w:rPr>
              <w:t>Class A common stock, $0.0001 par value per share, 883,950,000 shares authorized as of June 30,</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2023 and December 31, 2022, respectively; 20,199,947 and 19,934,331 shares issued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outstanding as of June 30, 2023 and December 31, 2022,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22"/>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Class B common stock, $0.0001 par value per share, 111,050,000 shares authorized as of June 30,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2023 and December 31, 2022, respectively; 103,306,842 shares issued and outstanding as of June</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30, 2023 and December 31, 2022</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372,403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367,767</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(22 )</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35,965</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29,422</w:t>
            </w:r>
          </w:p>
        </w:tc>
        <w:tc>
          <w:tcPr>
            <w:tcW w:w="140" w:type="dxa"/>
            <w:vAlign w:val="bottom"/>
          </w:tcPr>
          <w:p>
            <w:pPr>
              <w:spacing w:after="0"/>
              <w:rPr>
                <w:sz w:val="20"/>
                <w:szCs w:val="20"/>
                <w:color w:val="auto"/>
              </w:rPr>
            </w:pPr>
          </w:p>
        </w:tc>
      </w:tr>
      <w:tr>
        <w:trPr>
          <w:trHeight w:val="237"/>
        </w:trPr>
        <w:tc>
          <w:tcPr>
            <w:tcW w:w="7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408,444</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397,179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475,386</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461,539</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-5716905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-5716905</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-4474210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-4474210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-3205480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-3205480</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-2262505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-2262505</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3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9"/>
        </w:trPr>
        <w:tc>
          <w:tcPr>
            <w:tcW w:w="6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148,939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297,267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140" w:type="dxa"/>
            <w:vAlign w:val="bottom"/>
            <w:shd w:val="clear" w:color="auto" w:fill="CFF0FC"/>
          </w:tcPr>
          <w:p>
            <w:pPr>
              <w:spacing w:after="0"/>
              <w:rPr>
                <w:sz w:val="20"/>
                <w:szCs w:val="20"/>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103,077</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84,141</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211,327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165,991</w:t>
            </w:r>
          </w:p>
        </w:tc>
        <w:tc>
          <w:tcPr>
            <w:tcW w:w="140" w:type="dxa"/>
            <w:vAlign w:val="bottom"/>
          </w:tcPr>
          <w:p>
            <w:pPr>
              <w:spacing w:after="0"/>
              <w:rPr>
                <w:sz w:val="20"/>
                <w:szCs w:val="20"/>
                <w:color w:val="auto"/>
              </w:rPr>
            </w:pPr>
          </w:p>
        </w:tc>
      </w:tr>
      <w:tr>
        <w:trPr>
          <w:trHeight w:val="237"/>
        </w:trPr>
        <w:tc>
          <w:tcPr>
            <w:tcW w:w="6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85,940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20,575</w:t>
            </w:r>
          </w:p>
        </w:tc>
        <w:tc>
          <w:tcPr>
            <w:tcW w:w="140" w:type="dxa"/>
            <w:vAlign w:val="bottom"/>
            <w:shd w:val="clear" w:color="auto" w:fill="CFF0FC"/>
          </w:tcPr>
          <w:p>
            <w:pPr>
              <w:spacing w:after="0"/>
              <w:rPr>
                <w:sz w:val="21"/>
                <w:szCs w:val="21"/>
                <w:color w:val="auto"/>
              </w:rPr>
            </w:pP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41,863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34,041</w:t>
            </w:r>
          </w:p>
        </w:tc>
        <w:tc>
          <w:tcPr>
            <w:tcW w:w="140" w:type="dxa"/>
            <w:vAlign w:val="bottom"/>
          </w:tcPr>
          <w:p>
            <w:pPr>
              <w:spacing w:after="0"/>
              <w:rPr>
                <w:sz w:val="20"/>
                <w:szCs w:val="20"/>
                <w:color w:val="auto"/>
              </w:rPr>
            </w:pPr>
          </w:p>
        </w:tc>
      </w:tr>
      <w:tr>
        <w:trPr>
          <w:trHeight w:val="243"/>
        </w:trPr>
        <w:tc>
          <w:tcPr>
            <w:tcW w:w="6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1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38,053</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74,278</w:t>
            </w:r>
          </w:p>
        </w:tc>
        <w:tc>
          <w:tcPr>
            <w:tcW w:w="140" w:type="dxa"/>
            <w:vAlign w:val="bottom"/>
          </w:tcPr>
          <w:p>
            <w:pPr>
              <w:spacing w:after="0"/>
              <w:rPr>
                <w:sz w:val="20"/>
                <w:szCs w:val="20"/>
                <w:color w:val="auto"/>
              </w:rPr>
            </w:pPr>
          </w:p>
        </w:tc>
      </w:tr>
      <w:tr>
        <w:trPr>
          <w:trHeight w:val="243"/>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21"/>
                <w:szCs w:val="21"/>
                <w:color w:val="auto"/>
              </w:rPr>
            </w:pP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Foreign exchange (loss) gain</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r>
      <w:tr>
        <w:trPr>
          <w:trHeight w:val="243"/>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3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(438 )</w:t>
            </w: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(378 )</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w:t>
            </w:r>
          </w:p>
        </w:tc>
        <w:tc>
          <w:tcPr>
            <w:tcW w:w="140" w:type="dxa"/>
            <w:vAlign w:val="bottom"/>
          </w:tcPr>
          <w:p>
            <w:pPr>
              <w:spacing w:after="0"/>
              <w:rPr>
                <w:sz w:val="20"/>
                <w:szCs w:val="20"/>
                <w:color w:val="auto"/>
              </w:rPr>
            </w:pPr>
          </w:p>
        </w:tc>
      </w:tr>
      <w:tr>
        <w:trPr>
          <w:trHeight w:val="276"/>
        </w:trPr>
        <w:tc>
          <w:tcPr>
            <w:tcW w:w="6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5,839</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6100" w:type="dxa"/>
            <w:vAlign w:val="bottom"/>
          </w:tcPr>
          <w:p>
            <w:pPr>
              <w:ind w:left="200"/>
              <w:spacing w:after="0"/>
              <w:rPr>
                <w:sz w:val="20"/>
                <w:szCs w:val="20"/>
                <w:color w:val="auto"/>
              </w:rPr>
            </w:pPr>
            <w:r>
              <w:rPr>
                <w:rFonts w:ascii="Arial" w:cs="Arial" w:eastAsia="Arial" w:hAnsi="Arial"/>
                <w:sz w:val="18"/>
                <w:szCs w:val="18"/>
                <w:color w:val="auto"/>
              </w:rPr>
              <w:t>Net income (loss) per share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(0.02 )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(0.01 )</w:t>
            </w:r>
          </w:p>
        </w:tc>
      </w:tr>
      <w:tr>
        <w:trPr>
          <w:trHeight w:val="237"/>
        </w:trPr>
        <w:tc>
          <w:tcPr>
            <w:tcW w:w="61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(0.02 )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(0.01 )</w:t>
            </w: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Weighted-average number of shares used to compute net income per share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6100" w:type="dxa"/>
            <w:vAlign w:val="bottom"/>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123,378,12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121,637,71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123,334,27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121,269,68</w:t>
            </w:r>
          </w:p>
        </w:tc>
        <w:tc>
          <w:tcPr>
            <w:tcW w:w="140" w:type="dxa"/>
            <w:vAlign w:val="bottom"/>
          </w:tcPr>
          <w:p>
            <w:pPr>
              <w:spacing w:after="0"/>
              <w:rPr>
                <w:sz w:val="18"/>
                <w:szCs w:val="18"/>
                <w:color w:val="auto"/>
              </w:rPr>
            </w:pPr>
          </w:p>
        </w:tc>
      </w:tr>
      <w:tr>
        <w:trPr>
          <w:trHeight w:val="237"/>
        </w:trPr>
        <w:tc>
          <w:tcPr>
            <w:tcW w:w="6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r>
      <w:tr>
        <w:trPr>
          <w:trHeight w:val="222"/>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124,012,10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121,637,71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123,836,81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121,269,68</w:t>
            </w:r>
          </w:p>
        </w:tc>
        <w:tc>
          <w:tcPr>
            <w:tcW w:w="140" w:type="dxa"/>
            <w:vAlign w:val="bottom"/>
            <w:shd w:val="clear" w:color="auto" w:fill="CFF0FC"/>
          </w:tcPr>
          <w:p>
            <w:pPr>
              <w:spacing w:after="0"/>
              <w:rPr>
                <w:sz w:val="19"/>
                <w:szCs w:val="19"/>
                <w:color w:val="auto"/>
              </w:rPr>
            </w:pPr>
          </w:p>
        </w:tc>
      </w:tr>
      <w:tr>
        <w:trPr>
          <w:trHeight w:val="244"/>
        </w:trPr>
        <w:tc>
          <w:tcPr>
            <w:tcW w:w="6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1"/>
                <w:szCs w:val="2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(2,451 )</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(733 )</w:t>
            </w:r>
          </w:p>
        </w:tc>
      </w:tr>
      <w:tr>
        <w:trPr>
          <w:trHeight w:val="237"/>
        </w:trPr>
        <w:tc>
          <w:tcPr>
            <w:tcW w:w="61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(149 )</w:t>
            </w:r>
          </w:p>
        </w:tc>
      </w:tr>
      <w:tr>
        <w:trPr>
          <w:trHeight w:val="277"/>
        </w:trPr>
        <w:tc>
          <w:tcPr>
            <w:tcW w:w="6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-3771265</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-3771265</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-3771265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-3771265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-3145155</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-3145155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-3145155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-3145155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-1877060</wp:posOffset>
            </wp:positionV>
            <wp:extent cx="261493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14930" cy="1797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5"/>
          </w:tcPr>
          <w:p>
            <w:pPr>
              <w:ind w:left="12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5"/>
            <w:vMerge w:val="restart"/>
          </w:tcPr>
          <w:p>
            <w:pPr>
              <w:jc w:val="right"/>
              <w:ind w:right="7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Comprehen</w:t>
            </w:r>
          </w:p>
        </w:tc>
        <w:tc>
          <w:tcPr>
            <w:tcW w:w="1180" w:type="dxa"/>
            <w:vAlign w:val="bottom"/>
            <w:gridSpan w:val="5"/>
          </w:tcPr>
          <w:p>
            <w:pPr>
              <w:ind w:left="20"/>
              <w:spacing w:after="0"/>
              <w:rPr>
                <w:sz w:val="20"/>
                <w:szCs w:val="20"/>
                <w:color w:val="auto"/>
              </w:rPr>
            </w:pPr>
            <w:r>
              <w:rPr>
                <w:rFonts w:ascii="Arial" w:cs="Arial" w:eastAsia="Arial" w:hAnsi="Arial"/>
                <w:sz w:val="18"/>
                <w:szCs w:val="18"/>
                <w:b w:val="1"/>
                <w:bCs w:val="1"/>
                <w:color w:val="auto"/>
              </w:rPr>
              <w:t>Stockholde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ind w:left="80"/>
              <w:spacing w:after="0"/>
              <w:rPr>
                <w:sz w:val="20"/>
                <w:szCs w:val="20"/>
                <w:color w:val="auto"/>
              </w:rPr>
            </w:pPr>
            <w:r>
              <w:rPr>
                <w:rFonts w:ascii="Arial" w:cs="Arial" w:eastAsia="Arial" w:hAnsi="Arial"/>
                <w:sz w:val="18"/>
                <w:szCs w:val="18"/>
                <w:b w:val="1"/>
                <w:bCs w:val="1"/>
                <w:color w:val="auto"/>
              </w:rPr>
              <w:t>Paid-In</w:t>
            </w:r>
          </w:p>
        </w:tc>
        <w:tc>
          <w:tcPr>
            <w:tcW w:w="1180" w:type="dxa"/>
            <w:vAlign w:val="bottom"/>
            <w:gridSpan w:val="5"/>
          </w:tcPr>
          <w:p>
            <w:pPr>
              <w:ind w:left="10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5"/>
              </w:rPr>
              <w:t>sive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rs’</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ind w:right="460"/>
              <w:spacing w:after="0" w:line="205" w:lineRule="exact"/>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4"/>
          </w:tcPr>
          <w:p>
            <w:pPr>
              <w:ind w:left="80"/>
              <w:spacing w:after="0"/>
              <w:rPr>
                <w:sz w:val="20"/>
                <w:szCs w:val="20"/>
                <w:color w:val="auto"/>
              </w:rPr>
            </w:pPr>
            <w:r>
              <w:rPr>
                <w:rFonts w:ascii="Arial" w:cs="Arial" w:eastAsia="Arial" w:hAnsi="Arial"/>
                <w:sz w:val="18"/>
                <w:szCs w:val="18"/>
                <w:b w:val="1"/>
                <w:bCs w:val="1"/>
                <w:color w:val="auto"/>
              </w:rPr>
              <w:t>Capital</w:t>
            </w:r>
          </w:p>
        </w:tc>
        <w:tc>
          <w:tcPr>
            <w:tcW w:w="1180" w:type="dxa"/>
            <w:vAlign w:val="bottom"/>
            <w:gridSpan w:val="5"/>
          </w:tcPr>
          <w:p>
            <w:pPr>
              <w:ind w:left="10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123,241,1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367,767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397,179</w:t>
            </w: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Issuance of Class A common stock for stock-based</w:t>
            </w:r>
          </w:p>
        </w:tc>
        <w:tc>
          <w:tcPr>
            <w:tcW w:w="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104,991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123,346,1</w:t>
            </w: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33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369,931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400,040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8"/>
                <w:szCs w:val="18"/>
                <w:color w:val="auto"/>
                <w:w w:val="97"/>
              </w:rPr>
              <w:t>Issuance of Class A common stock for stock-based</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awards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160,625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123,506,7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372,403</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408,444</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2"/>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Comprehen</w:t>
            </w:r>
          </w:p>
        </w:tc>
        <w:tc>
          <w:tcPr>
            <w:tcW w:w="140" w:type="dxa"/>
            <w:vAlign w:val="bottom"/>
          </w:tcPr>
          <w:p>
            <w:pPr>
              <w:spacing w:after="0"/>
              <w:rPr>
                <w:sz w:val="19"/>
                <w:szCs w:val="19"/>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Stockholde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Borders>
              <w:bottom w:val="single" w:sz="8" w:color="auto"/>
            </w:tcBorders>
            <w:gridSpan w:val="5"/>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79"/>
              </w:rPr>
              <w:t>sive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rs’</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320"/>
              <w:spacing w:after="0" w:line="205" w:lineRule="exact"/>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3"/>
          </w:tcPr>
          <w:p>
            <w:pPr>
              <w:ind w:left="2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40" w:type="dxa"/>
            <w:vAlign w:val="bottom"/>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120,639,16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356,017</w:t>
            </w: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29,935</w:t>
            </w:r>
          </w:p>
        </w:tc>
        <w:tc>
          <w:tcPr>
            <w:tcW w:w="1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386,132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Issuance of Class A common stock for stock-based</w:t>
            </w:r>
          </w:p>
        </w:tc>
        <w:tc>
          <w:tcPr>
            <w:tcW w:w="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412,222</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121,051,38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357,306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31,653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389,094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20"/>
                <w:szCs w:val="20"/>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8"/>
                <w:szCs w:val="18"/>
                <w:color w:val="auto"/>
                <w:w w:val="97"/>
              </w:rPr>
              <w:t>Issuance of Class A common stock for stock-based</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awards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1,568,761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(104 )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(2,451 )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(2,451 )</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40" w:type="dxa"/>
            <w:vAlign w:val="bottom"/>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122,620,14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358,939</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29,202</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388,172</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-5031105</wp:posOffset>
            </wp:positionV>
            <wp:extent cx="85725" cy="325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-5031105</wp:posOffset>
            </wp:positionV>
            <wp:extent cx="85725"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-5031105</wp:posOffset>
            </wp:positionV>
            <wp:extent cx="85725"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-5031105</wp:posOffset>
            </wp:positionV>
            <wp:extent cx="8572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-5031105</wp:posOffset>
            </wp:positionV>
            <wp:extent cx="8572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-5031105</wp:posOffset>
            </wp:positionV>
            <wp:extent cx="8572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-3651250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-3634105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-3651250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-3634105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-3651250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-3634105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-3651250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-3634105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-3651250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-3634105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-3651250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-3634105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-1405255</wp:posOffset>
            </wp:positionV>
            <wp:extent cx="85725"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-1405255</wp:posOffset>
            </wp:positionV>
            <wp:extent cx="85725"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-1405255</wp:posOffset>
            </wp:positionV>
            <wp:extent cx="85725"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-1405255</wp:posOffset>
            </wp:positionV>
            <wp:extent cx="8572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-1405255</wp:posOffset>
            </wp:positionV>
            <wp:extent cx="8572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-1405255</wp:posOffset>
            </wp:positionV>
            <wp:extent cx="85725"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76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6,543</w:t>
            </w:r>
          </w:p>
        </w:tc>
        <w:tc>
          <w:tcPr>
            <w:tcW w:w="320" w:type="dxa"/>
            <w:vAlign w:val="bottom"/>
          </w:tcPr>
          <w:p>
            <w:pPr>
              <w:spacing w:after="0"/>
              <w:rPr>
                <w:sz w:val="16"/>
                <w:szCs w:val="16"/>
                <w:color w:val="auto"/>
              </w:rPr>
            </w:pP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(733 )</w:t>
            </w: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14,542</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11,360</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income taxes</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(3,322 )</w:t>
            </w: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4,435</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2,620</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Non-cash lease expense</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904</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1,120</w:t>
            </w: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Amortization of contract asset</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1,441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818</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expected credit losses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(234 )</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Change in operating assets and liabilities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and other receivables</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865</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(9,205 )</w:t>
            </w:r>
          </w:p>
        </w:tc>
      </w:tr>
      <w:tr>
        <w:trPr>
          <w:trHeight w:val="189"/>
        </w:trPr>
        <w:tc>
          <w:tcPr>
            <w:tcW w:w="7600" w:type="dxa"/>
            <w:vAlign w:val="bottom"/>
          </w:tcPr>
          <w:p>
            <w:pPr>
              <w:ind w:left="380"/>
              <w:spacing w:after="0"/>
              <w:rPr>
                <w:sz w:val="20"/>
                <w:szCs w:val="20"/>
                <w:color w:val="auto"/>
              </w:rPr>
            </w:pPr>
            <w:r>
              <w:rPr>
                <w:rFonts w:ascii="Arial" w:cs="Arial" w:eastAsia="Arial" w:hAnsi="Arial"/>
                <w:sz w:val="15"/>
                <w:szCs w:val="15"/>
                <w:color w:val="auto"/>
              </w:rPr>
              <w:t>Prepaid expenses and other current and long-term assets</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797</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(910 )</w:t>
            </w:r>
          </w:p>
        </w:tc>
      </w:tr>
      <w:tr>
        <w:trPr>
          <w:trHeight w:val="189"/>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3,205</w:t>
            </w: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380"/>
              <w:spacing w:after="0"/>
              <w:rPr>
                <w:sz w:val="20"/>
                <w:szCs w:val="20"/>
                <w:color w:val="auto"/>
              </w:rPr>
            </w:pPr>
            <w:r>
              <w:rPr>
                <w:rFonts w:ascii="Arial" w:cs="Arial" w:eastAsia="Arial" w:hAnsi="Arial"/>
                <w:sz w:val="15"/>
                <w:szCs w:val="15"/>
                <w:color w:val="auto"/>
              </w:rPr>
              <w:t>Accrued liabilities</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891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2,615</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(916 )</w:t>
            </w:r>
          </w:p>
        </w:tc>
        <w:tc>
          <w:tcPr>
            <w:tcW w:w="10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(942 )</w:t>
            </w:r>
          </w:p>
        </w:tc>
      </w:tr>
      <w:tr>
        <w:trPr>
          <w:trHeight w:val="189"/>
        </w:trPr>
        <w:tc>
          <w:tcPr>
            <w:tcW w:w="7600" w:type="dxa"/>
            <w:vAlign w:val="bottom"/>
          </w:tcPr>
          <w:p>
            <w:pPr>
              <w:ind w:left="380"/>
              <w:spacing w:after="0"/>
              <w:rPr>
                <w:sz w:val="20"/>
                <w:szCs w:val="20"/>
                <w:color w:val="auto"/>
              </w:rPr>
            </w:pPr>
            <w:r>
              <w:rPr>
                <w:rFonts w:ascii="Arial" w:cs="Arial" w:eastAsia="Arial" w:hAnsi="Arial"/>
                <w:sz w:val="15"/>
                <w:szCs w:val="15"/>
                <w:color w:val="auto"/>
              </w:rPr>
              <w:t>Contract liabilities</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1,857</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75</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Income taxes receivable, net of payable</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(1,418 )</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40" w:type="dxa"/>
            <w:vAlign w:val="bottom"/>
            <w:shd w:val="clear" w:color="auto" w:fill="CFF0FC"/>
          </w:tcPr>
          <w:p>
            <w:pPr>
              <w:spacing w:after="0"/>
              <w:rPr>
                <w:sz w:val="16"/>
                <w:szCs w:val="16"/>
                <w:color w:val="auto"/>
              </w:rPr>
            </w:pPr>
          </w:p>
        </w:tc>
      </w:tr>
      <w:tr>
        <w:trPr>
          <w:trHeight w:val="183"/>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5"/>
                <w:szCs w:val="15"/>
                <w:color w:val="auto"/>
              </w:rPr>
              <w:t>Net cash provided by operating activities</w:t>
            </w:r>
          </w:p>
        </w:tc>
        <w:tc>
          <w:tcPr>
            <w:tcW w:w="10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31,244</w:t>
            </w:r>
          </w:p>
        </w:tc>
        <w:tc>
          <w:tcPr>
            <w:tcW w:w="320" w:type="dxa"/>
            <w:vAlign w:val="bottom"/>
            <w:tcBorders>
              <w:top w:val="single" w:sz="8" w:color="CFF0FC"/>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7,092</w:t>
            </w:r>
          </w:p>
        </w:tc>
        <w:tc>
          <w:tcPr>
            <w:tcW w:w="140" w:type="dxa"/>
            <w:vAlign w:val="bottom"/>
            <w:tcBorders>
              <w:top w:val="single" w:sz="8" w:color="CFF0FC"/>
            </w:tcBorders>
          </w:tcPr>
          <w:p>
            <w:pPr>
              <w:spacing w:after="0"/>
              <w:rPr>
                <w:sz w:val="15"/>
                <w:szCs w:val="15"/>
                <w:color w:val="auto"/>
              </w:rPr>
            </w:pPr>
          </w:p>
        </w:tc>
      </w:tr>
      <w:tr>
        <w:trPr>
          <w:trHeight w:val="183"/>
        </w:trPr>
        <w:tc>
          <w:tcPr>
            <w:tcW w:w="76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Other intangible assets acquired</w:t>
            </w:r>
          </w:p>
        </w:tc>
        <w:tc>
          <w:tcPr>
            <w:tcW w:w="10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(123 )</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property and equipment</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(353 )</w:t>
            </w:r>
          </w:p>
        </w:tc>
        <w:tc>
          <w:tcPr>
            <w:tcW w:w="10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(795 )</w:t>
            </w: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Capitalized software development costs</w:t>
            </w:r>
          </w:p>
        </w:tc>
        <w:tc>
          <w:tcPr>
            <w:tcW w:w="10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(16,611 )</w:t>
            </w:r>
          </w:p>
        </w:tc>
        <w:tc>
          <w:tcPr>
            <w:tcW w:w="10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(14,464 )</w:t>
            </w:r>
          </w:p>
        </w:tc>
      </w:tr>
      <w:tr>
        <w:trPr>
          <w:trHeight w:val="20"/>
        </w:trPr>
        <w:tc>
          <w:tcPr>
            <w:tcW w:w="7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Net cash used in investing activities</w:t>
            </w:r>
          </w:p>
        </w:tc>
        <w:tc>
          <w:tcPr>
            <w:tcW w:w="10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(16,964 )</w:t>
            </w: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(15,382 )</w:t>
            </w:r>
          </w:p>
        </w:tc>
      </w:tr>
      <w:tr>
        <w:trPr>
          <w:trHeight w:val="18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exercise of stock-based awards</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w:t>
            </w: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Financial institution funds in-transit</w:t>
            </w:r>
          </w:p>
        </w:tc>
        <w:tc>
          <w:tcPr>
            <w:tcW w:w="10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25,882</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on other financing obligations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(1,709 )</w:t>
            </w:r>
          </w:p>
        </w:tc>
        <w:tc>
          <w:tcPr>
            <w:tcW w:w="10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(1,831 )</w:t>
            </w: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Payments on finance leases</w:t>
            </w:r>
          </w:p>
        </w:tc>
        <w:tc>
          <w:tcPr>
            <w:tcW w:w="10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(102 )</w:t>
            </w:r>
          </w:p>
        </w:tc>
        <w:tc>
          <w:tcPr>
            <w:tcW w:w="10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(135 )</w:t>
            </w:r>
          </w:p>
        </w:tc>
      </w:tr>
      <w:tr>
        <w:trPr>
          <w:trHeight w:val="20"/>
        </w:trPr>
        <w:tc>
          <w:tcPr>
            <w:tcW w:w="76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CFF0FC"/>
            </w:tcBorders>
            <w:shd w:val="clear" w:color="auto" w:fill="000000"/>
          </w:tcPr>
          <w:p>
            <w:pPr>
              <w:spacing w:after="0" w:line="20" w:lineRule="exact"/>
              <w:rPr>
                <w:sz w:val="1"/>
                <w:szCs w:val="1"/>
                <w:color w:val="auto"/>
              </w:rPr>
            </w:pPr>
          </w:p>
        </w:tc>
        <w:tc>
          <w:tcPr>
            <w:tcW w:w="580" w:type="dxa"/>
            <w:vAlign w:val="bottom"/>
            <w:tcBorders>
              <w:bottom w:val="single" w:sz="8" w:color="CFF0FC"/>
            </w:tcBorders>
            <w:shd w:val="clear" w:color="auto" w:fill="000000"/>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Net cash (used in) provided by financing activities</w:t>
            </w:r>
          </w:p>
        </w:tc>
        <w:tc>
          <w:tcPr>
            <w:tcW w:w="10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(1,610 )</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24,218</w:t>
            </w:r>
          </w:p>
        </w:tc>
        <w:tc>
          <w:tcPr>
            <w:tcW w:w="140" w:type="dxa"/>
            <w:vAlign w:val="bottom"/>
            <w:shd w:val="clear" w:color="auto" w:fill="CFF0FC"/>
          </w:tcPr>
          <w:p>
            <w:pPr>
              <w:spacing w:after="0"/>
              <w:rPr>
                <w:sz w:val="15"/>
                <w:szCs w:val="15"/>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3"/>
        </w:trPr>
        <w:tc>
          <w:tcPr>
            <w:tcW w:w="760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113</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(97 )</w:t>
            </w:r>
          </w:p>
        </w:tc>
      </w:tr>
      <w:tr>
        <w:trPr>
          <w:trHeight w:val="183"/>
        </w:trPr>
        <w:tc>
          <w:tcPr>
            <w:tcW w:w="7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increase in cash, cash equivalents and Restricted cash</w:t>
            </w:r>
          </w:p>
        </w:tc>
        <w:tc>
          <w:tcPr>
            <w:tcW w:w="10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12,783</w:t>
            </w:r>
          </w:p>
        </w:tc>
        <w:tc>
          <w:tcPr>
            <w:tcW w:w="3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15,831</w:t>
            </w:r>
          </w:p>
        </w:tc>
        <w:tc>
          <w:tcPr>
            <w:tcW w:w="140" w:type="dxa"/>
            <w:vAlign w:val="bottom"/>
            <w:shd w:val="clear" w:color="auto" w:fill="CFF0FC"/>
          </w:tcPr>
          <w:p>
            <w:pPr>
              <w:spacing w:after="0"/>
              <w:rPr>
                <w:sz w:val="15"/>
                <w:szCs w:val="15"/>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5"/>
                <w:szCs w:val="15"/>
                <w:color w:val="auto"/>
              </w:rPr>
              <w:t>Cash and cash equivalents and Restricted cash beginning of period</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149,685</w:t>
            </w:r>
          </w:p>
        </w:tc>
        <w:tc>
          <w:tcPr>
            <w:tcW w:w="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201,829</w:t>
            </w:r>
          </w:p>
        </w:tc>
        <w:tc>
          <w:tcPr>
            <w:tcW w:w="140" w:type="dxa"/>
            <w:vAlign w:val="bottom"/>
          </w:tcPr>
          <w:p>
            <w:pPr>
              <w:spacing w:after="0"/>
              <w:rPr>
                <w:sz w:val="16"/>
                <w:szCs w:val="16"/>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and cash equivalents and Restricted cash end of period</w:t>
            </w:r>
          </w:p>
        </w:tc>
        <w:tc>
          <w:tcPr>
            <w:tcW w:w="10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9"/>
              </w:rPr>
              <w:t>162,468</w:t>
            </w:r>
          </w:p>
        </w:tc>
        <w:tc>
          <w:tcPr>
            <w:tcW w:w="3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9"/>
              </w:rPr>
              <w:t>217,660</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170"/>
        </w:trPr>
        <w:tc>
          <w:tcPr>
            <w:tcW w:w="7600" w:type="dxa"/>
            <w:vAlign w:val="bottom"/>
          </w:tcPr>
          <w:p>
            <w:pPr>
              <w:ind w:left="20"/>
              <w:spacing w:after="0" w:line="169" w:lineRule="exact"/>
              <w:rPr>
                <w:sz w:val="20"/>
                <w:szCs w:val="20"/>
                <w:color w:val="auto"/>
              </w:rPr>
            </w:pPr>
            <w:r>
              <w:rPr>
                <w:rFonts w:ascii="Arial" w:cs="Arial" w:eastAsia="Arial" w:hAnsi="Arial"/>
                <w:sz w:val="15"/>
                <w:szCs w:val="15"/>
                <w:color w:val="auto"/>
              </w:rPr>
              <w:t>Reconciliation of Cash and cash equivalents and Restricted Cash:</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 at beginning of period</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147,334</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168,386</w:t>
            </w: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Restricted cash at beginning of period</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2,351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Restricted funds held for financial institutions at beginning of period</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33,443</w:t>
            </w:r>
          </w:p>
        </w:tc>
        <w:tc>
          <w:tcPr>
            <w:tcW w:w="140" w:type="dxa"/>
            <w:vAlign w:val="bottom"/>
            <w:shd w:val="clear" w:color="auto" w:fill="CFF0FC"/>
          </w:tcPr>
          <w:p>
            <w:pPr>
              <w:spacing w:after="0"/>
              <w:rPr>
                <w:sz w:val="16"/>
                <w:szCs w:val="16"/>
                <w:color w:val="auto"/>
              </w:rPr>
            </w:pPr>
          </w:p>
        </w:tc>
      </w:tr>
      <w:tr>
        <w:trPr>
          <w:trHeight w:val="18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Cash and cash equivalents and Restricted cash at beginning of period</w:t>
            </w: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149,685</w:t>
            </w:r>
          </w:p>
        </w:tc>
        <w:tc>
          <w:tcPr>
            <w:tcW w:w="320" w:type="dxa"/>
            <w:vAlign w:val="bottom"/>
            <w:tcBorders>
              <w:top w:val="single" w:sz="8" w:color="CFF0FC"/>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201,829</w:t>
            </w:r>
          </w:p>
        </w:tc>
        <w:tc>
          <w:tcPr>
            <w:tcW w:w="140" w:type="dxa"/>
            <w:vAlign w:val="bottom"/>
            <w:tcBorders>
              <w:top w:val="single" w:sz="8" w:color="CFF0FC"/>
            </w:tcBorders>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0"/>
        </w:trPr>
        <w:tc>
          <w:tcPr>
            <w:tcW w:w="7600" w:type="dxa"/>
            <w:vAlign w:val="bottom"/>
            <w:shd w:val="clear" w:color="auto" w:fill="CFF0FC"/>
          </w:tcPr>
          <w:p>
            <w:pPr>
              <w:ind w:left="200"/>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9"/>
              </w:rPr>
              <w:t>159,068</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9"/>
              </w:rPr>
              <w:t>158,335</w:t>
            </w:r>
          </w:p>
        </w:tc>
        <w:tc>
          <w:tcPr>
            <w:tcW w:w="140" w:type="dxa"/>
            <w:vAlign w:val="bottom"/>
            <w:shd w:val="clear" w:color="auto" w:fill="CFF0FC"/>
          </w:tcPr>
          <w:p>
            <w:pPr>
              <w:spacing w:after="0"/>
              <w:rPr>
                <w:sz w:val="14"/>
                <w:szCs w:val="14"/>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Restricted cash at end of period</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3,400</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Restricted funds held for financial institutions at end of period</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59,325</w:t>
            </w:r>
          </w:p>
        </w:tc>
        <w:tc>
          <w:tcPr>
            <w:tcW w:w="140" w:type="dxa"/>
            <w:vAlign w:val="bottom"/>
            <w:shd w:val="clear" w:color="auto" w:fill="CFF0FC"/>
          </w:tcPr>
          <w:p>
            <w:pPr>
              <w:spacing w:after="0"/>
              <w:rPr>
                <w:sz w:val="16"/>
                <w:szCs w:val="16"/>
                <w:color w:val="auto"/>
              </w:rPr>
            </w:pPr>
          </w:p>
        </w:tc>
      </w:tr>
      <w:tr>
        <w:trPr>
          <w:trHeight w:val="18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Cash and cash equivalents and Restricted cash at end of period</w:t>
            </w: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162,468</w:t>
            </w:r>
          </w:p>
        </w:tc>
        <w:tc>
          <w:tcPr>
            <w:tcW w:w="320" w:type="dxa"/>
            <w:vAlign w:val="bottom"/>
            <w:tcBorders>
              <w:top w:val="single" w:sz="8" w:color="CFF0FC"/>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217,660</w:t>
            </w:r>
          </w:p>
        </w:tc>
        <w:tc>
          <w:tcPr>
            <w:tcW w:w="140" w:type="dxa"/>
            <w:vAlign w:val="bottom"/>
            <w:tcBorders>
              <w:top w:val="single" w:sz="8" w:color="CFF0FC"/>
            </w:tcBorders>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0"/>
        </w:trPr>
        <w:tc>
          <w:tcPr>
            <w:tcW w:w="7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Cash paid for income taxes, net of refunds</w:t>
            </w: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1,269</w:t>
            </w:r>
          </w:p>
        </w:tc>
        <w:tc>
          <w:tcPr>
            <w:tcW w:w="320" w:type="dxa"/>
            <w:vAlign w:val="bottom"/>
          </w:tcPr>
          <w:p>
            <w:pPr>
              <w:spacing w:after="0"/>
              <w:rPr>
                <w:sz w:val="16"/>
                <w:szCs w:val="16"/>
                <w:color w:val="auto"/>
              </w:rPr>
            </w:pP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184</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Property and equipment purchases in accounts payable</w:t>
            </w:r>
          </w:p>
        </w:tc>
        <w:tc>
          <w:tcPr>
            <w:tcW w:w="1020" w:type="dxa"/>
            <w:vAlign w:val="bottom"/>
            <w:shd w:val="clear" w:color="auto" w:fill="CFF0FC"/>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14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5"/>
                <w:szCs w:val="15"/>
                <w:color w:val="auto"/>
              </w:rPr>
              <w:t>Software purchases in accounts payable</w:t>
            </w: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Prepaid insurance funded through short-term borrowings</w:t>
            </w:r>
          </w:p>
        </w:tc>
        <w:tc>
          <w:tcPr>
            <w:tcW w:w="1020" w:type="dxa"/>
            <w:vAlign w:val="bottom"/>
            <w:shd w:val="clear" w:color="auto" w:fill="CFF0FC"/>
          </w:tcPr>
          <w:p>
            <w:pPr>
              <w:jc w:val="right"/>
              <w:ind w:right="844"/>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1,349</w:t>
            </w:r>
          </w:p>
        </w:tc>
        <w:tc>
          <w:tcPr>
            <w:tcW w:w="140" w:type="dxa"/>
            <w:vAlign w:val="bottom"/>
            <w:shd w:val="clear" w:color="auto" w:fill="CFF0FC"/>
          </w:tcPr>
          <w:p>
            <w:pPr>
              <w:spacing w:after="0"/>
              <w:rPr>
                <w:sz w:val="16"/>
                <w:szCs w:val="16"/>
                <w:color w:val="auto"/>
              </w:rPr>
            </w:pPr>
          </w:p>
        </w:tc>
      </w:tr>
      <w:tr>
        <w:trPr>
          <w:trHeight w:val="194"/>
        </w:trPr>
        <w:tc>
          <w:tcPr>
            <w:tcW w:w="7600" w:type="dxa"/>
            <w:vAlign w:val="bottom"/>
          </w:tcPr>
          <w:p>
            <w:pPr>
              <w:ind w:left="200"/>
              <w:spacing w:after="0"/>
              <w:rPr>
                <w:sz w:val="20"/>
                <w:szCs w:val="20"/>
                <w:color w:val="auto"/>
              </w:rPr>
            </w:pPr>
            <w:r>
              <w:rPr>
                <w:rFonts w:ascii="Arial" w:cs="Arial" w:eastAsia="Arial" w:hAnsi="Arial"/>
                <w:sz w:val="15"/>
                <w:szCs w:val="15"/>
                <w:color w:val="auto"/>
              </w:rPr>
              <w:t>Right-of-use assets obtained in exchange of operating lease obligations</w:t>
            </w: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1,356</w:t>
            </w:r>
          </w:p>
        </w:tc>
        <w:tc>
          <w:tcPr>
            <w:tcW w:w="320" w:type="dxa"/>
            <w:vAlign w:val="bottom"/>
          </w:tcPr>
          <w:p>
            <w:pPr>
              <w:spacing w:after="0"/>
              <w:rPr>
                <w:sz w:val="16"/>
                <w:szCs w:val="16"/>
                <w:color w:val="auto"/>
              </w:rPr>
            </w:pP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4,151</w:t>
            </w: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-3894455</wp:posOffset>
            </wp:positionV>
            <wp:extent cx="8572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-3894455</wp:posOffset>
            </wp:positionV>
            <wp:extent cx="8572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-3148965</wp:posOffset>
            </wp:positionV>
            <wp:extent cx="8572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-3148965</wp:posOffset>
            </wp:positionV>
            <wp:extent cx="8572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-2544445</wp:posOffset>
            </wp:positionV>
            <wp:extent cx="1307465" cy="278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7465" cy="27813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-1897380</wp:posOffset>
            </wp:positionV>
            <wp:extent cx="129476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94765" cy="1460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-1391285</wp:posOffset>
            </wp:positionV>
            <wp:extent cx="8572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-1391285</wp:posOffset>
            </wp:positionV>
            <wp:extent cx="8572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-876935</wp:posOffset>
            </wp:positionV>
            <wp:extent cx="8572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-876935</wp:posOffset>
            </wp:positionV>
            <wp:extent cx="8572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494"/>
        <w:spacing w:after="0" w:line="291" w:lineRule="auto"/>
        <w:rPr>
          <w:sz w:val="20"/>
          <w:szCs w:val="20"/>
          <w:color w:val="auto"/>
        </w:rPr>
      </w:pPr>
      <w:r>
        <w:rPr>
          <w:rFonts w:ascii="Arial" w:cs="Arial" w:eastAsia="Arial" w:hAnsi="Arial"/>
          <w:sz w:val="16"/>
          <w:szCs w:val="16"/>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and Delhi and Bangalore (India). The Company is currently headquartered in Charlotte, North Carolina and continues to evaluate reestablishing its headquarters in or around the Seattle, Washington area in the future.</w:t>
      </w:r>
    </w:p>
    <w:p>
      <w:pPr>
        <w:spacing w:after="0" w:line="16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2022 filed with the SEC on March 3, 2023 (the “2022 Form 10-K”).</w:t>
      </w:r>
    </w:p>
    <w:p>
      <w:pPr>
        <w:spacing w:after="0" w:line="70"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comprehensive income, changes in stockholders' equity and cash flows for the periods presented. The results of operations for the three and six months ended June 30, 2023 and 2022 are not necessarily indicative of the results to be expected for the full year or any other future interim or annual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17"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$112.6 million and $353.9 million as of June 30, 2023 and December 31, 2022, respectively.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Restricted Funds Held for Financial Institutions and Financial Institution Funds In-Transit</w:t>
      </w:r>
    </w:p>
    <w:p>
      <w:pPr>
        <w:spacing w:after="0" w:line="117"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 During the fourth quarter 2022, the Company entered into an agreement with a financial institution whereby the financial institution would take over the legal ownership of these funds and operate as the custodial service provider. Once these funds were moved to custodial accounts, the Company no longer had legal ownership or control over these funds, and as such the Company no longer has Restricted Funds held for Financial Institutions and Financial Institution Funds In-Transit on the consolidated balance sheet as of June 30, 2023 and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three and six months ended June 30, 2023 and 2022. As of June 30, 2023 and December 31, 2022, one customer accounted for more than 10% of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5 and Note 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The Company’s significant accounting policies are discussed in Note 2, “Basis of Presentation and Summary of Significant Accounting Policies,” in the Notes to Consolidated Financial Statements as of December 31, 2022 and 2021 and for the years ended December 31, 2022, 2021 and 2020 included in the 2022 Form 10-K. There have been no significant changes to these policies during the three and six months ended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80"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ASUs not listed below were assessed and determined to be either not applicable or are not expected to have a material impact on the consolidated financial statements.</w:t>
      </w:r>
    </w:p>
    <w:p>
      <w:pPr>
        <w:spacing w:after="0" w:line="6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The Company adopted this ASU on January 1, 2023, and its adoption did not have a material impact on its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ind w:left="740" w:hanging="732"/>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0"/>
              </w:rPr>
              <w:t>Three Months Ended June 30,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39"/>
        </w:trPr>
        <w:tc>
          <w:tcPr>
            <w:tcW w:w="5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r>
      <w:tr>
        <w:trPr>
          <w:trHeight w:val="241"/>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146,677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293,065</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233,474</w:t>
            </w:r>
          </w:p>
        </w:tc>
        <w:tc>
          <w:tcPr>
            <w:tcW w:w="280" w:type="dxa"/>
            <w:vAlign w:val="bottom"/>
            <w:shd w:val="clear" w:color="auto" w:fill="CFF0FC"/>
          </w:tcPr>
          <w:p>
            <w:pPr>
              <w:spacing w:after="0"/>
              <w:rPr>
                <w:sz w:val="20"/>
                <w:szCs w:val="20"/>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280" w:type="dxa"/>
            <w:vAlign w:val="bottom"/>
          </w:tcPr>
          <w:p>
            <w:pPr>
              <w:spacing w:after="0"/>
              <w:rPr>
                <w:sz w:val="20"/>
                <w:szCs w:val="20"/>
                <w:color w:val="auto"/>
              </w:rPr>
            </w:pPr>
          </w:p>
        </w:tc>
      </w:tr>
      <w:tr>
        <w:trPr>
          <w:trHeight w:val="277"/>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148,939</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297,267</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2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r>
      <w:tr>
        <w:trPr>
          <w:trHeight w:val="241"/>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0"/>
              </w:rPr>
              <w:t>Three Months Ended June 30,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9"/>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145,946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117,473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291,503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231,433</w:t>
            </w:r>
          </w:p>
        </w:tc>
        <w:tc>
          <w:tcPr>
            <w:tcW w:w="140" w:type="dxa"/>
            <w:vAlign w:val="bottom"/>
            <w:shd w:val="clear" w:color="auto" w:fill="CFF0FC"/>
          </w:tcPr>
          <w:p>
            <w:pPr>
              <w:spacing w:after="0"/>
              <w:rPr>
                <w:sz w:val="20"/>
                <w:szCs w:val="20"/>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40" w:type="dxa"/>
            <w:vAlign w:val="bottom"/>
          </w:tcPr>
          <w:p>
            <w:pPr>
              <w:spacing w:after="0"/>
              <w:rPr>
                <w:sz w:val="20"/>
                <w:szCs w:val="20"/>
                <w:color w:val="auto"/>
              </w:rPr>
            </w:pPr>
          </w:p>
        </w:tc>
      </w:tr>
      <w:tr>
        <w:trPr>
          <w:trHeight w:val="276"/>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148,939</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297,267</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236,673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of June 30, 2023, the aggregate amount of transaction price allocated to performance obligations that are unsatisfied or partially unsatisfied was $9.0 million, of which the Company expects to recognize over 80% within the next two years, 16% between two to four years and the remainder thereafter. The timing of revenue recognition within the next four years is largely dependent upon the go-live dates of the Company's customers under the Company’s contracts.</w:t>
      </w:r>
    </w:p>
    <w:p>
      <w:pPr>
        <w:spacing w:after="0" w:line="18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of June 30, 2023, the Company has contractual rights under its commercial agreements to receive $51.5 million of fixed consideration related to the future minimum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7560" w:type="dxa"/>
            <w:vAlign w:val="bottom"/>
          </w:tcPr>
          <w:p>
            <w:pPr>
              <w:ind w:left="500"/>
              <w:spacing w:after="0"/>
              <w:rPr>
                <w:sz w:val="20"/>
                <w:szCs w:val="20"/>
                <w:color w:val="auto"/>
              </w:rPr>
            </w:pPr>
            <w:r>
              <w:rPr>
                <w:rFonts w:ascii="Arial" w:cs="Arial" w:eastAsia="Arial" w:hAnsi="Arial"/>
                <w:sz w:val="18"/>
                <w:szCs w:val="18"/>
                <w:color w:val="auto"/>
              </w:rPr>
              <w:t>Contract balances consist of the following:</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5"/>
        </w:trPr>
        <w:tc>
          <w:tcPr>
            <w:tcW w:w="7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280" w:type="dxa"/>
            <w:vAlign w:val="bottom"/>
          </w:tcPr>
          <w:p>
            <w:pPr>
              <w:spacing w:after="0"/>
              <w:rPr>
                <w:sz w:val="24"/>
                <w:szCs w:val="24"/>
                <w:color w:val="auto"/>
              </w:rPr>
            </w:pPr>
          </w:p>
        </w:tc>
      </w:tr>
      <w:tr>
        <w:trPr>
          <w:trHeight w:val="250"/>
        </w:trPr>
        <w:tc>
          <w:tcPr>
            <w:tcW w:w="7560" w:type="dxa"/>
            <w:vAlign w:val="bottom"/>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Costs to fulfill (prepaid expenses and other current assets)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2,862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2,732</w:t>
            </w:r>
          </w:p>
        </w:tc>
        <w:tc>
          <w:tcPr>
            <w:tcW w:w="28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Costs to fulfill (other long-term assets)</w:t>
            </w:r>
          </w:p>
        </w:tc>
        <w:tc>
          <w:tcPr>
            <w:tcW w:w="11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5,712</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6,929</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Total contract assets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8,574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9,661</w:t>
            </w:r>
          </w:p>
        </w:tc>
        <w:tc>
          <w:tcPr>
            <w:tcW w:w="28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3,414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4,358</w:t>
            </w:r>
          </w:p>
        </w:tc>
        <w:tc>
          <w:tcPr>
            <w:tcW w:w="28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Contract liabilities, less current portion</w:t>
            </w:r>
          </w:p>
        </w:tc>
        <w:tc>
          <w:tcPr>
            <w:tcW w:w="11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5,626</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Total contract liabilities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9,040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7,184</w:t>
            </w:r>
          </w:p>
        </w:tc>
        <w:tc>
          <w:tcPr>
            <w:tcW w:w="28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-839470</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-839470</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-187960</wp:posOffset>
            </wp:positionV>
            <wp:extent cx="857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During the three months ended June 30, 2023 and 2022, the Company reduced revenue and the related contract assets by $0.7 million and $0.4 million, respectively. During the six months ended June 30, 2023 and 2022, the Company reduced revenue and the related contract assets by $1.4 million and $0.8 million, respectively.</w:t>
      </w:r>
    </w:p>
    <w:p>
      <w:pPr>
        <w:spacing w:after="0" w:line="76"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Revenue recognized during the three months ended June 30, 2023 and 2022 that was included in the contract liabilities balance at the beginning of each of the periods was $0.7 million and $0.5 million, respectively. Revenue recognized during the six months ended June 30, 2023 and 2022 that was included in the contract liabilities balance at the beginning of each of the periods was $1.3 million and $0.8 million,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Financial, Inc.</w:t>
      </w:r>
    </w:p>
    <w:p>
      <w:pPr>
        <w:spacing w:after="0" w:line="117"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On December 19, 2022, the Company completed its acquisition of PROFIT Financial, Inc. (“PROFIT”) by acquiring all outstanding shares of PROFIT for a total purchase price of approximately $4.3 million, net of cash acquired, comprised of $3.3 million cash of which $0.1 million is included as a short term payable at December 31, 2022 and $0.6 million is being held back by the Company for a period of 12 to 24 months following the transaction close date and is recorded in finance leases and other finance obligations, net of current portion in the consolidated balance sheets. PROFIT is a financial and accounting software company with offerings to small business. The acquisition of PROFIT is expected to increase market opportunities for the Company's existing solutions while enhancing the PROFIT platform.</w:t>
      </w:r>
    </w:p>
    <w:p>
      <w:pPr>
        <w:spacing w:after="0" w:line="84" w:lineRule="exact"/>
        <w:rPr>
          <w:sz w:val="20"/>
          <w:szCs w:val="20"/>
          <w:color w:val="auto"/>
        </w:rPr>
      </w:pPr>
    </w:p>
    <w:p>
      <w:pPr>
        <w:jc w:val="both"/>
        <w:ind w:firstLine="494"/>
        <w:spacing w:after="0" w:line="308" w:lineRule="auto"/>
        <w:rPr>
          <w:sz w:val="20"/>
          <w:szCs w:val="20"/>
          <w:color w:val="auto"/>
        </w:rPr>
      </w:pPr>
      <w:r>
        <w:rPr>
          <w:rFonts w:ascii="Arial" w:cs="Arial" w:eastAsia="Arial" w:hAnsi="Arial"/>
          <w:sz w:val="17"/>
          <w:szCs w:val="17"/>
          <w:color w:val="auto"/>
        </w:rPr>
        <w:t>The Company will record adjustments to the fair value of net assets acquired and goodwill within 12 months of the measurement period, if necessary. There were no measurement period adjustments to the purchase price allocation during the three and six months ended June 30, 2023.</w:t>
      </w:r>
    </w:p>
    <w:p>
      <w:pPr>
        <w:spacing w:after="0" w:line="38"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revenue and expenses of PROFIT have been included in the Company's consolidated financial results since the acquisition date. Pro forma results of operations related to the acquisition have not been presented for the three and six months ended June 30, 2022 because the effects of this acquisition were not material to the Company's overall operations.</w:t>
      </w:r>
    </w:p>
    <w:p>
      <w:pPr>
        <w:spacing w:after="0" w:line="180" w:lineRule="exact"/>
        <w:rPr>
          <w:sz w:val="20"/>
          <w:szCs w:val="20"/>
          <w:color w:val="auto"/>
        </w:rPr>
      </w:pPr>
    </w:p>
    <w:p>
      <w:pPr>
        <w:ind w:left="740" w:hanging="732"/>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140" w:type="dxa"/>
            <w:vAlign w:val="bottom"/>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7,567</w:t>
            </w:r>
          </w:p>
        </w:tc>
        <w:tc>
          <w:tcPr>
            <w:tcW w:w="14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(6,201 )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(5,744 )</w:t>
            </w:r>
          </w:p>
        </w:tc>
      </w:tr>
      <w:tr>
        <w:trPr>
          <w:trHeight w:val="237"/>
        </w:trPr>
        <w:tc>
          <w:tcPr>
            <w:tcW w:w="76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40" w:type="dxa"/>
            <w:vAlign w:val="bottom"/>
            <w:tcBorders>
              <w:top w:val="single" w:sz="8" w:color="CFF0FC"/>
            </w:tcBorders>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-504825</wp:posOffset>
            </wp:positionV>
            <wp:extent cx="8572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Depreciation expense recorded for property and equipment was $0.1 million and $0.3 million for the three months ended June 30, 2023 and 2022, respectively, and $0.5 million and $0.6 million for the six months ended June 30, 2023 and 2022, respectively.</w:t>
      </w:r>
    </w:p>
    <w:p>
      <w:pPr>
        <w:spacing w:after="0" w:line="170"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Long-lived assets include property and equipment, net. The geographic locations of the Company’s long-lived assets, net, based on physical location of the assets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40" w:type="dxa"/>
            <w:vAlign w:val="bottom"/>
          </w:tcPr>
          <w:p>
            <w:pPr>
              <w:spacing w:after="0"/>
              <w:rPr>
                <w:sz w:val="20"/>
                <w:szCs w:val="20"/>
                <w:color w:val="auto"/>
              </w:rPr>
            </w:pPr>
          </w:p>
        </w:tc>
      </w:tr>
      <w:tr>
        <w:trPr>
          <w:trHeight w:val="250"/>
        </w:trPr>
        <w:tc>
          <w:tcPr>
            <w:tcW w:w="3260" w:type="dxa"/>
            <w:vAlign w:val="bottom"/>
          </w:tcPr>
          <w:p>
            <w:pPr>
              <w:spacing w:after="0"/>
              <w:rPr>
                <w:sz w:val="21"/>
                <w:szCs w:val="21"/>
                <w:color w:val="auto"/>
              </w:rPr>
            </w:pPr>
          </w:p>
        </w:tc>
        <w:tc>
          <w:tcPr>
            <w:tcW w:w="5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440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FF0FC"/>
          </w:tcPr>
          <w:p>
            <w:pPr>
              <w:spacing w:after="0"/>
              <w:rPr>
                <w:sz w:val="21"/>
                <w:szCs w:val="2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Other</w:t>
            </w:r>
          </w:p>
        </w:tc>
        <w:tc>
          <w:tcPr>
            <w:tcW w:w="44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1,115</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Pr>
          <w:p>
            <w:pPr>
              <w:spacing w:after="0"/>
              <w:rPr>
                <w:sz w:val="21"/>
                <w:szCs w:val="21"/>
                <w:color w:val="auto"/>
              </w:rPr>
            </w:pPr>
          </w:p>
        </w:tc>
      </w:tr>
      <w:tr>
        <w:trPr>
          <w:trHeight w:val="27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1,743</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737"/>
        </w:trPr>
        <w:tc>
          <w:tcPr>
            <w:tcW w:w="3260" w:type="dxa"/>
            <w:vAlign w:val="bottom"/>
          </w:tcPr>
          <w:p>
            <w:pPr>
              <w:spacing w:after="0"/>
              <w:rPr>
                <w:sz w:val="24"/>
                <w:szCs w:val="24"/>
                <w:color w:val="auto"/>
              </w:rPr>
            </w:pPr>
          </w:p>
        </w:tc>
        <w:tc>
          <w:tcPr>
            <w:tcW w:w="4400" w:type="dxa"/>
            <w:vAlign w:val="bottom"/>
          </w:tcPr>
          <w:p>
            <w:pPr>
              <w:jc w:val="right"/>
              <w:ind w:right="185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326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-582295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-565150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-582295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-565150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left="740" w:hanging="732"/>
        <w:spacing w:after="0"/>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Internal-use Software Development Costs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United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States</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131,028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131,851</w:t>
            </w:r>
          </w:p>
        </w:tc>
        <w:tc>
          <w:tcPr>
            <w:tcW w:w="140" w:type="dxa"/>
            <w:vAlign w:val="bottom"/>
            <w:shd w:val="clear" w:color="auto" w:fill="CFF0FC"/>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r>
      <w:tr>
        <w:trPr>
          <w:trHeight w:val="283"/>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131,028</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131,866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During the three months ended June 30, 2023 and 2022, the Company capitalized $8.4 million and $7.7 million in software development and implementation costs, respectively, and during the six months ended June 30, 2023 and 2022, the Company capitalized $16.6 million and $14.5 million in software development and implementation costs, respectively.</w:t>
      </w:r>
    </w:p>
    <w:p>
      <w:pPr>
        <w:spacing w:after="0" w:line="76"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During the three months ended June 30, 2023 and 2022, the Company recorded $3.2 million and $2.1 million of amortization expense in cost of revenue, respectively, and $1.9 million and $1.4 million of amortization expense in operating expenses, respectively. During the six months ended June 30, 2023 and 2022, the Company recorded $6.0 million and $3.7 million of amortization expense in cost of revenue, respectively, and $3.8 million and $2.9 million of amortization expense in operating expenses,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6"/>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b w:val="1"/>
                <w:bCs w:val="1"/>
                <w:color w:val="auto"/>
                <w:w w:val="88"/>
              </w:rPr>
              <w:t>June 30, 2023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Net</w:t>
            </w:r>
          </w:p>
        </w:tc>
        <w:tc>
          <w:tcPr>
            <w:tcW w:w="14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21,844</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8,779</w:t>
            </w:r>
          </w:p>
        </w:tc>
        <w:tc>
          <w:tcPr>
            <w:tcW w:w="140" w:type="dxa"/>
            <w:vAlign w:val="bottom"/>
            <w:shd w:val="clear" w:color="auto" w:fill="CFF0FC"/>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(2,568 )</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(11,771 )</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20,235</w:t>
            </w:r>
          </w:p>
        </w:tc>
        <w:tc>
          <w:tcPr>
            <w:tcW w:w="140" w:type="dxa"/>
            <w:vAlign w:val="bottom"/>
            <w:shd w:val="clear" w:color="auto" w:fill="CFF0FC"/>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(398 )</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(1,835 )</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140" w:type="dxa"/>
            <w:vAlign w:val="bottom"/>
            <w:shd w:val="clear" w:color="auto" w:fill="CFF0FC"/>
          </w:tcPr>
          <w:p>
            <w:pPr>
              <w:spacing w:after="0"/>
              <w:rPr>
                <w:sz w:val="21"/>
                <w:szCs w:val="2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60,911</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(29,637 )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31,274</w:t>
            </w:r>
          </w:p>
        </w:tc>
        <w:tc>
          <w:tcPr>
            <w:tcW w:w="14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6"/>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Net</w:t>
            </w:r>
          </w:p>
        </w:tc>
        <w:tc>
          <w:tcPr>
            <w:tcW w:w="14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22,631</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140" w:type="dxa"/>
            <w:vAlign w:val="bottom"/>
            <w:shd w:val="clear" w:color="auto" w:fill="CFF0FC"/>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(2,503 )</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(11,695 )</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22,093</w:t>
            </w:r>
          </w:p>
        </w:tc>
        <w:tc>
          <w:tcPr>
            <w:tcW w:w="140" w:type="dxa"/>
            <w:vAlign w:val="bottom"/>
            <w:shd w:val="clear" w:color="auto" w:fill="CFF0FC"/>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(661 )</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(1,531 )</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40" w:type="dxa"/>
            <w:vAlign w:val="bottom"/>
            <w:shd w:val="clear" w:color="auto" w:fill="CFF0FC"/>
          </w:tcPr>
          <w:p>
            <w:pPr>
              <w:spacing w:after="0"/>
              <w:rPr>
                <w:sz w:val="21"/>
                <w:szCs w:val="2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64,372</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(28,355 )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36,017</w:t>
            </w:r>
          </w:p>
        </w:tc>
        <w:tc>
          <w:tcPr>
            <w:tcW w:w="14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-2047875</wp:posOffset>
            </wp:positionV>
            <wp:extent cx="85725" cy="342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-2047875</wp:posOffset>
            </wp:positionV>
            <wp:extent cx="85725"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-2047875</wp:posOffset>
            </wp:positionV>
            <wp:extent cx="85725"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8572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8572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Amortization expense of intangible assets was $2.0 million and $2.1 million for the three months ended June 30, 2023 and 2022, respectively, and $4.3 million and $4.2 million for the six months ended June 30, 2023 and 2022, respectively.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9180" w:type="dxa"/>
            <w:vAlign w:val="bottom"/>
          </w:tcPr>
          <w:p>
            <w:pPr>
              <w:ind w:left="500"/>
              <w:spacing w:after="0"/>
              <w:rPr>
                <w:sz w:val="20"/>
                <w:szCs w:val="20"/>
                <w:color w:val="auto"/>
              </w:rPr>
            </w:pPr>
            <w:r>
              <w:rPr>
                <w:rFonts w:ascii="Arial" w:cs="Arial" w:eastAsia="Arial" w:hAnsi="Arial"/>
                <w:sz w:val="18"/>
                <w:szCs w:val="18"/>
                <w:color w:val="auto"/>
              </w:rPr>
              <w:t>As of June 30, 2023, future expected amortization expense is as follows (in thousands):</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9"/>
        </w:trPr>
        <w:tc>
          <w:tcPr>
            <w:tcW w:w="9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2023 (remaining six months)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4,116</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8,082</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6,620</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2027</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3,269</w:t>
            </w:r>
          </w:p>
        </w:tc>
        <w:tc>
          <w:tcPr>
            <w:tcW w:w="140" w:type="dxa"/>
            <w:vAlign w:val="bottom"/>
          </w:tcPr>
          <w:p>
            <w:pPr>
              <w:spacing w:after="0"/>
              <w:rPr>
                <w:sz w:val="20"/>
                <w:szCs w:val="20"/>
                <w:color w:val="auto"/>
              </w:rPr>
            </w:pPr>
          </w:p>
        </w:tc>
      </w:tr>
      <w:tr>
        <w:trPr>
          <w:trHeight w:val="24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9180" w:type="dxa"/>
            <w:vAlign w:val="bottom"/>
          </w:tcPr>
          <w:p>
            <w:pPr>
              <w:ind w:left="20"/>
              <w:spacing w:after="0"/>
              <w:rPr>
                <w:sz w:val="20"/>
                <w:szCs w:val="20"/>
                <w:color w:val="auto"/>
              </w:rPr>
            </w:pPr>
            <w:r>
              <w:rPr>
                <w:rFonts w:ascii="Arial" w:cs="Arial" w:eastAsia="Arial" w:hAnsi="Arial"/>
                <w:sz w:val="18"/>
                <w:szCs w:val="18"/>
                <w:color w:val="auto"/>
              </w:rPr>
              <w:t>Total future amortization expense</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31,274</w:t>
            </w:r>
          </w:p>
        </w:tc>
        <w:tc>
          <w:tcPr>
            <w:tcW w:w="140" w:type="dxa"/>
            <w:vAlign w:val="bottom"/>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76"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three or six months ended June 30, 2023 and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00" w:type="dxa"/>
            <w:vAlign w:val="bottom"/>
          </w:tcPr>
          <w:p>
            <w:pPr>
              <w:ind w:left="300"/>
              <w:spacing w:after="0"/>
              <w:rPr>
                <w:sz w:val="20"/>
                <w:szCs w:val="20"/>
                <w:color w:val="auto"/>
              </w:rPr>
            </w:pPr>
            <w:r>
              <w:rPr>
                <w:rFonts w:ascii="Arial" w:cs="Arial" w:eastAsia="Arial" w:hAnsi="Arial"/>
                <w:sz w:val="18"/>
                <w:szCs w:val="18"/>
                <w:b w:val="1"/>
                <w:bCs w:val="1"/>
                <w:color w:val="auto"/>
              </w:rPr>
              <w:t>Accrued Liabilities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The composition of accrued liabilities is as follows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40" w:type="dxa"/>
            <w:vAlign w:val="bottom"/>
          </w:tcPr>
          <w:p>
            <w:pPr>
              <w:spacing w:after="0"/>
              <w:rPr>
                <w:sz w:val="24"/>
                <w:szCs w:val="24"/>
                <w:color w:val="auto"/>
              </w:rPr>
            </w:pPr>
          </w:p>
        </w:tc>
      </w:tr>
      <w:tr>
        <w:trPr>
          <w:trHeight w:val="250"/>
        </w:trPr>
        <w:tc>
          <w:tcPr>
            <w:tcW w:w="44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3"/>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9,214</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20"/>
                <w:szCs w:val="20"/>
                <w:color w:val="auto"/>
              </w:rPr>
            </w:pPr>
          </w:p>
        </w:tc>
      </w:tr>
      <w:tr>
        <w:trPr>
          <w:trHeight w:val="249"/>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5,417</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w w:val="99"/>
              </w:rPr>
              <w:t>Total</w:t>
            </w:r>
          </w:p>
        </w:tc>
        <w:tc>
          <w:tcPr>
            <w:tcW w:w="7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15,809</w:t>
            </w:r>
          </w:p>
        </w:tc>
        <w:tc>
          <w:tcPr>
            <w:tcW w:w="140" w:type="dxa"/>
            <w:vAlign w:val="bottom"/>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As of December 31, 2022, finance leases and other financing obligations included the then current portion of finance leases related to the acquisition of computer equipment and short-term insurance premium financing arrangements. As of June 30, 2023 the Company no longer had any finance leases or insurance premium financing arrangements.</w:t>
      </w:r>
    </w:p>
    <w:p>
      <w:pPr>
        <w:spacing w:after="0" w:line="180" w:lineRule="exact"/>
        <w:rPr>
          <w:sz w:val="20"/>
          <w:szCs w:val="20"/>
          <w:color w:val="auto"/>
        </w:rPr>
      </w:pPr>
    </w:p>
    <w:p>
      <w:pPr>
        <w:ind w:left="740" w:hanging="732"/>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94"/>
        <w:spacing w:after="0" w:line="279" w:lineRule="auto"/>
        <w:rPr>
          <w:sz w:val="20"/>
          <w:szCs w:val="20"/>
          <w:color w:val="auto"/>
        </w:rPr>
      </w:pPr>
      <w:r>
        <w:rPr>
          <w:rFonts w:ascii="Arial" w:cs="Arial" w:eastAsia="Arial" w:hAnsi="Arial"/>
          <w:sz w:val="17"/>
          <w:szCs w:val="17"/>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2022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While it is not feasible to predict or determine the ultimate outcome of these matters, the Company believes that, as of June 30, 2023, none of its current claims and legal proceedings will have a material adverse effect on its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494"/>
        <w:spacing w:after="0" w:line="293" w:lineRule="auto"/>
        <w:rPr>
          <w:sz w:val="20"/>
          <w:szCs w:val="20"/>
          <w:color w:val="auto"/>
        </w:rPr>
      </w:pPr>
      <w:r>
        <w:rPr>
          <w:rFonts w:ascii="Arial" w:cs="Arial" w:eastAsia="Arial" w:hAnsi="Arial"/>
          <w:sz w:val="16"/>
          <w:szCs w:val="16"/>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left="740" w:hanging="732"/>
        <w:spacing w:after="0"/>
        <w:tabs>
          <w:tab w:leader="none" w:pos="7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In May 2021, the Company’s board of directors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2023, pursuant to the Evergreen Addition, 4,929,646 shares of Class A common stock were added to the 2021 Plan issuance reserve. At June 30, 2023, there were 17,831,302 remaining shares available for the Company to grant under the 2021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A summary of the Company’s option activity during the six months ended June 30, 2023 was as follows (in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1"/>
                <w:szCs w:val="21"/>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Exercise Price</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140" w:type="dxa"/>
            <w:vAlign w:val="bottom"/>
          </w:tcPr>
          <w:p>
            <w:pPr>
              <w:spacing w:after="0"/>
              <w:rPr>
                <w:sz w:val="21"/>
                <w:szCs w:val="21"/>
                <w:color w:val="auto"/>
              </w:rPr>
            </w:pPr>
          </w:p>
        </w:tc>
      </w:tr>
      <w:tr>
        <w:trPr>
          <w:trHeight w:val="250"/>
        </w:trPr>
        <w:tc>
          <w:tcPr>
            <w:tcW w:w="4360" w:type="dxa"/>
            <w:vAlign w:val="bottom"/>
          </w:tcPr>
          <w:p>
            <w:pPr>
              <w:spacing w:after="0"/>
              <w:rPr>
                <w:sz w:val="21"/>
                <w:szCs w:val="21"/>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1"/>
                <w:szCs w:val="21"/>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 Share</w:t>
            </w: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Life </w:t>
            </w:r>
            <w:r>
              <w:rPr>
                <w:rFonts w:ascii="Arial" w:cs="Arial" w:eastAsia="Arial" w:hAnsi="Arial"/>
                <w:sz w:val="18"/>
                <w:szCs w:val="18"/>
                <w:b w:val="1"/>
                <w:bCs w:val="1"/>
                <w:i w:val="1"/>
                <w:iCs w:val="1"/>
                <w:color w:val="auto"/>
                <w:w w:val="89"/>
              </w:rPr>
              <w:t>(years)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1"/>
                <w:szCs w:val="2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4,155,640</w:t>
            </w:r>
          </w:p>
        </w:tc>
        <w:tc>
          <w:tcPr>
            <w:tcW w:w="3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140" w:type="dxa"/>
            <w:vAlign w:val="bottom"/>
            <w:shd w:val="clear" w:color="auto" w:fill="CFF0FC"/>
          </w:tcPr>
          <w:p>
            <w:pPr>
              <w:spacing w:after="0"/>
              <w:rPr>
                <w:sz w:val="21"/>
                <w:szCs w:val="2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(90,333 )</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(32,501 )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expired</w:t>
            </w: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(84,660 )</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at June 30, 2023</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3,948,146</w:t>
            </w:r>
          </w:p>
        </w:tc>
        <w:tc>
          <w:tcPr>
            <w:tcW w:w="3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7.79</w:t>
            </w:r>
          </w:p>
        </w:tc>
        <w:tc>
          <w:tcPr>
            <w:tcW w:w="18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5.54</w:t>
            </w:r>
          </w:p>
        </w:tc>
        <w:tc>
          <w:tcPr>
            <w:tcW w:w="540" w:type="dxa"/>
            <w:vAlign w:val="bottom"/>
            <w:tcBorders>
              <w:top w:val="single" w:sz="8" w:color="CFF0FC"/>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10,948</w:t>
            </w:r>
          </w:p>
        </w:tc>
        <w:tc>
          <w:tcPr>
            <w:tcW w:w="140" w:type="dxa"/>
            <w:vAlign w:val="bottom"/>
            <w:tcBorders>
              <w:top w:val="single" w:sz="8" w:color="CFF0FC"/>
            </w:tcBorders>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Exercisable at June 30, 2023</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3,468,334</w:t>
            </w:r>
          </w:p>
        </w:tc>
        <w:tc>
          <w:tcPr>
            <w:tcW w:w="3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5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-367665</wp:posOffset>
            </wp:positionV>
            <wp:extent cx="857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There were no options granted during the three and six months ended June 30, 2023 and 2022. Aggregate intrinsic value represents the difference between the exercise price of the options and the fair value of the Company’s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six months ended June 30, 2023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21"/>
                <w:szCs w:val="21"/>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Grant Date</w:t>
            </w:r>
          </w:p>
        </w:tc>
        <w:tc>
          <w:tcPr>
            <w:tcW w:w="140" w:type="dxa"/>
            <w:vAlign w:val="bottom"/>
          </w:tcPr>
          <w:p>
            <w:pPr>
              <w:spacing w:after="0"/>
              <w:rPr>
                <w:sz w:val="21"/>
                <w:szCs w:val="21"/>
                <w:color w:val="auto"/>
              </w:rPr>
            </w:pPr>
          </w:p>
        </w:tc>
      </w:tr>
      <w:tr>
        <w:trPr>
          <w:trHeight w:val="250"/>
        </w:trPr>
        <w:tc>
          <w:tcPr>
            <w:tcW w:w="4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RSUs Outstanding</w:t>
            </w:r>
          </w:p>
        </w:tc>
        <w:tc>
          <w:tcPr>
            <w:tcW w:w="200" w:type="dxa"/>
            <w:vAlign w:val="bottom"/>
          </w:tcPr>
          <w:p>
            <w:pPr>
              <w:spacing w:after="0"/>
              <w:rPr>
                <w:sz w:val="21"/>
                <w:szCs w:val="21"/>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1"/>
                <w:szCs w:val="2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2022</w:t>
            </w:r>
          </w:p>
        </w:tc>
        <w:tc>
          <w:tcPr>
            <w:tcW w:w="338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1,362,420</w:t>
            </w:r>
          </w:p>
        </w:tc>
        <w:tc>
          <w:tcPr>
            <w:tcW w:w="3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40" w:type="dxa"/>
            <w:vAlign w:val="bottom"/>
            <w:shd w:val="clear" w:color="auto" w:fill="CFF0FC"/>
          </w:tcPr>
          <w:p>
            <w:pPr>
              <w:spacing w:after="0"/>
              <w:rPr>
                <w:sz w:val="21"/>
                <w:szCs w:val="21"/>
                <w:color w:val="auto"/>
              </w:rPr>
            </w:pPr>
          </w:p>
        </w:tc>
      </w:tr>
      <w:tr>
        <w:trPr>
          <w:trHeight w:val="237"/>
        </w:trPr>
        <w:tc>
          <w:tcPr>
            <w:tcW w:w="4400" w:type="dxa"/>
            <w:vAlign w:val="bottom"/>
          </w:tcPr>
          <w:p>
            <w:pPr>
              <w:ind w:left="200"/>
              <w:spacing w:after="0"/>
              <w:rPr>
                <w:sz w:val="20"/>
                <w:szCs w:val="20"/>
                <w:color w:val="auto"/>
              </w:rPr>
            </w:pPr>
            <w:r>
              <w:rPr>
                <w:rFonts w:ascii="Arial" w:cs="Arial" w:eastAsia="Arial" w:hAnsi="Arial"/>
                <w:sz w:val="18"/>
                <w:szCs w:val="18"/>
                <w:color w:val="auto"/>
              </w:rPr>
              <w:t>Awards granted</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1,136,613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20"/>
                <w:szCs w:val="20"/>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 vested</w:t>
            </w:r>
          </w:p>
        </w:tc>
        <w:tc>
          <w:tcPr>
            <w:tcW w:w="5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(182,551 )</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FF0FC"/>
          </w:tcPr>
          <w:p>
            <w:pPr>
              <w:spacing w:after="0"/>
              <w:rPr>
                <w:sz w:val="21"/>
                <w:szCs w:val="2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Awards forfeited</w:t>
            </w:r>
          </w:p>
        </w:tc>
        <w:tc>
          <w:tcPr>
            <w:tcW w:w="5240" w:type="dxa"/>
            <w:vAlign w:val="bottom"/>
            <w:gridSpan w:val="3"/>
          </w:tcPr>
          <w:p>
            <w:pPr>
              <w:jc w:val="right"/>
              <w:ind w:right="240"/>
              <w:spacing w:after="0"/>
              <w:rPr>
                <w:sz w:val="20"/>
                <w:szCs w:val="20"/>
                <w:color w:val="auto"/>
              </w:rPr>
            </w:pPr>
            <w:r>
              <w:rPr>
                <w:rFonts w:ascii="Arial" w:cs="Arial" w:eastAsia="Arial" w:hAnsi="Arial"/>
                <w:sz w:val="18"/>
                <w:szCs w:val="18"/>
                <w:color w:val="auto"/>
              </w:rPr>
              <w:t>(140,758 )</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1"/>
                <w:szCs w:val="21"/>
                <w:color w:val="auto"/>
              </w:rPr>
            </w:pPr>
          </w:p>
        </w:tc>
      </w:tr>
      <w:tr>
        <w:trPr>
          <w:trHeight w:val="277"/>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Awarded and unvested at June 30, 2023</w:t>
            </w:r>
          </w:p>
        </w:tc>
        <w:tc>
          <w:tcPr>
            <w:tcW w:w="338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2,175,724</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520"/>
        </w:trPr>
        <w:tc>
          <w:tcPr>
            <w:tcW w:w="4400" w:type="dxa"/>
            <w:vAlign w:val="bottom"/>
          </w:tcPr>
          <w:p>
            <w:pPr>
              <w:spacing w:after="0"/>
              <w:rPr>
                <w:sz w:val="24"/>
                <w:szCs w:val="24"/>
                <w:color w:val="auto"/>
              </w:rPr>
            </w:pPr>
          </w:p>
        </w:tc>
        <w:tc>
          <w:tcPr>
            <w:tcW w:w="3380" w:type="dxa"/>
            <w:vAlign w:val="bottom"/>
          </w:tcPr>
          <w:p>
            <w:pPr>
              <w:jc w:val="right"/>
              <w:ind w:right="1970"/>
              <w:spacing w:after="0"/>
              <w:rPr>
                <w:sz w:val="20"/>
                <w:szCs w:val="20"/>
                <w:color w:val="auto"/>
              </w:rPr>
            </w:pPr>
            <w:r>
              <w:rPr>
                <w:rFonts w:ascii="Arial" w:cs="Arial" w:eastAsia="Arial" w:hAnsi="Arial"/>
                <w:sz w:val="18"/>
                <w:szCs w:val="18"/>
                <w:color w:val="auto"/>
              </w:rPr>
              <w:t>15</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-436245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-419735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-436245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-419735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jc w:val="both"/>
        <w:ind w:firstLine="494"/>
        <w:spacing w:after="0" w:line="263"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generally ranges between four years and five years from the date of grant for employees and one to three years for directors, subject to continued employment for employees and provision of services for nonemployees.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was as follows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r>
      <w:tr>
        <w:trPr>
          <w:trHeight w:val="239"/>
        </w:trPr>
        <w:tc>
          <w:tcPr>
            <w:tcW w:w="44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FF0FC"/>
          </w:tcPr>
          <w:p>
            <w:pPr>
              <w:spacing w:after="0"/>
              <w:rPr>
                <w:sz w:val="21"/>
                <w:szCs w:val="21"/>
                <w:color w:val="auto"/>
              </w:rPr>
            </w:pPr>
          </w:p>
        </w:tc>
      </w:tr>
      <w:tr>
        <w:trPr>
          <w:trHeight w:val="237"/>
        </w:trPr>
        <w:tc>
          <w:tcPr>
            <w:tcW w:w="44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r>
      <w:tr>
        <w:trPr>
          <w:trHeight w:val="249"/>
        </w:trPr>
        <w:tc>
          <w:tcPr>
            <w:tcW w:w="4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1,094</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442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2,276</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1,344</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4,435</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2,620</w:t>
            </w:r>
          </w:p>
        </w:tc>
        <w:tc>
          <w:tcPr>
            <w:tcW w:w="140" w:type="dxa"/>
            <w:vAlign w:val="bottom"/>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768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857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857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At June 30, 2023, there was $1.3 million of total unrecognized compensation cost related to unvested stock options granted under the 2012 Equity Incentive Plan, which is expected to be recognized over a remaining weighted-average period of 0.9 years.</w:t>
      </w:r>
    </w:p>
    <w:p>
      <w:pPr>
        <w:spacing w:after="0" w:line="62"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At June 30, 2023, there was $26.3 million of total unrecognized compensation cost related to unvested RSUs granted under the 2021 Plan, which is expected to be recognized over a remaining weighted-average period of 3.3 years.</w:t>
      </w:r>
    </w:p>
    <w:p>
      <w:pPr>
        <w:spacing w:after="0" w:line="382"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The Company computes its tax provision for the quarter ended June 30, 2023 by applying the year-to-date actual effective tax rate from recurring operations as the best estimate of its annual effective tax rate. The Company continues to record a valuation allowance against its net deferred tax assets (“DTA”) in the U.S. as it is not more likely than not to be realized given near break-even operations and prior year significant tax deductions for stock-based compensation.</w:t>
      </w:r>
    </w:p>
    <w:p>
      <w:pPr>
        <w:spacing w:after="0" w:line="79"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The Company’s effective tax rate for the three and six months ended June 30, 2023 was 7.0% and 2.7%, respectively. The difference between the Company’s effective tax rate and the U.S. federal statutory rate of 21% was primarily the result of the full valuation allowance recorded against the Company's net U.S., deferred tax assets. The Company’s effective tax rate for the three and six months ended June 30, 2022 was (17.5)% and 78.7%, respectively. In 2022, the difference between the Company’s effective tax rate and the U.S. federal statutory rate of 21% was primarily the result of tax benefits from stock-based compensation, and the initial recording of the full valuation allowance in the second quarter of 2022.</w:t>
      </w:r>
    </w:p>
    <w:p>
      <w:pPr>
        <w:spacing w:after="0" w:line="172" w:lineRule="exact"/>
        <w:rPr>
          <w:sz w:val="20"/>
          <w:szCs w:val="20"/>
          <w:color w:val="auto"/>
        </w:rPr>
      </w:pPr>
    </w:p>
    <w:p>
      <w:pPr>
        <w:ind w:left="740" w:hanging="732"/>
        <w:spacing w:after="0"/>
        <w:tabs>
          <w:tab w:leader="none" w:pos="7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 Attributable to Common Stock</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Basic net income per share attributable to common stock is computed by dividing net income for the period by the weighted average number of common shares outstanding during the period.</w:t>
      </w:r>
    </w:p>
    <w:p>
      <w:pPr>
        <w:spacing w:after="0" w:line="62"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79"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firstLine="49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740" w:type="dxa"/>
            <w:vAlign w:val="bottom"/>
          </w:tcPr>
          <w:p>
            <w:pPr>
              <w:spacing w:after="0"/>
              <w:rPr>
                <w:sz w:val="20"/>
                <w:szCs w:val="20"/>
                <w:color w:val="auto"/>
              </w:rPr>
            </w:pPr>
          </w:p>
        </w:tc>
        <w:tc>
          <w:tcPr>
            <w:tcW w:w="27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Three Months Ended June 30,</w:t>
            </w:r>
          </w:p>
        </w:tc>
        <w:tc>
          <w:tcPr>
            <w:tcW w:w="1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9"/>
        </w:trPr>
        <w:tc>
          <w:tcPr>
            <w:tcW w:w="5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6,543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(733 )</w:t>
            </w:r>
          </w:p>
        </w:tc>
      </w:tr>
      <w:tr>
        <w:trPr>
          <w:trHeight w:val="24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9"/>
        </w:trPr>
        <w:tc>
          <w:tcPr>
            <w:tcW w:w="5740" w:type="dxa"/>
            <w:vAlign w:val="bottom"/>
          </w:tcPr>
          <w:p>
            <w:pPr>
              <w:ind w:left="200"/>
              <w:spacing w:after="0"/>
              <w:rPr>
                <w:sz w:val="20"/>
                <w:szCs w:val="20"/>
                <w:color w:val="auto"/>
              </w:rPr>
            </w:pPr>
            <w:r>
              <w:rPr>
                <w:rFonts w:ascii="Arial" w:cs="Arial" w:eastAsia="Arial" w:hAnsi="Arial"/>
                <w:sz w:val="18"/>
                <w:szCs w:val="18"/>
                <w:b w:val="1"/>
                <w:bCs w:val="1"/>
                <w:color w:val="auto"/>
              </w:rPr>
              <w:t>Weighted-average shares of common stock — basic</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1"/>
              </w:rPr>
              <w:t>123,378,128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1"/>
              </w:rPr>
              <w:t>121,637,711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1"/>
              </w:rPr>
              <w:t>123,334,277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7"/>
              </w:rPr>
              <w:t>121,269,688</w:t>
            </w:r>
          </w:p>
        </w:tc>
        <w:tc>
          <w:tcPr>
            <w:tcW w:w="140" w:type="dxa"/>
            <w:vAlign w:val="bottom"/>
          </w:tcPr>
          <w:p>
            <w:pPr>
              <w:spacing w:after="0"/>
              <w:rPr>
                <w:sz w:val="20"/>
                <w:szCs w:val="20"/>
                <w:color w:val="auto"/>
              </w:rPr>
            </w:pPr>
          </w:p>
        </w:tc>
      </w:tr>
      <w:tr>
        <w:trPr>
          <w:trHeight w:val="247"/>
        </w:trPr>
        <w:tc>
          <w:tcPr>
            <w:tcW w:w="5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Dilutive effect of stock options to purchase common stock</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521,818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445,183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300"/>
              <w:spacing w:after="0"/>
              <w:rPr>
                <w:sz w:val="20"/>
                <w:szCs w:val="20"/>
                <w:color w:val="auto"/>
              </w:rPr>
            </w:pPr>
            <w:r>
              <w:rPr>
                <w:rFonts w:ascii="Arial" w:cs="Arial" w:eastAsia="Arial" w:hAnsi="Arial"/>
                <w:sz w:val="18"/>
                <w:szCs w:val="18"/>
                <w:color w:val="auto"/>
              </w:rPr>
              <w:t>Dilutive effect of RSUs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112,161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8"/>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Weighted-average shares of common stock — diluted</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124,012,107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121,637,711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123,836,815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121,269,688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(0.01 )</w:t>
            </w: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(0.02 )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-480060</wp:posOffset>
            </wp:positionV>
            <wp:extent cx="2700020"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00020" cy="180340"/>
                    </a:xfrm>
                    <a:prstGeom prst="rect">
                      <a:avLst/>
                    </a:prstGeom>
                    <a:noFill/>
                  </pic:spPr>
                </pic:pic>
              </a:graphicData>
            </a:graphic>
          </wp:anchor>
        </w:drawing>
      </w:r>
    </w:p>
    <w:p>
      <w:pPr>
        <w:spacing w:after="0" w:line="194" w:lineRule="exact"/>
        <w:rPr>
          <w:sz w:val="20"/>
          <w:szCs w:val="20"/>
          <w:color w:val="auto"/>
        </w:rPr>
      </w:pPr>
    </w:p>
    <w:p>
      <w:pPr>
        <w:ind w:firstLine="494"/>
        <w:spacing w:after="0" w:line="277" w:lineRule="auto"/>
        <w:rPr>
          <w:sz w:val="20"/>
          <w:szCs w:val="20"/>
          <w:color w:val="auto"/>
        </w:rPr>
      </w:pPr>
      <w:r>
        <w:rPr>
          <w:rFonts w:ascii="Arial" w:cs="Arial" w:eastAsia="Arial" w:hAnsi="Arial"/>
          <w:sz w:val="18"/>
          <w:szCs w:val="18"/>
          <w:color w:val="auto"/>
        </w:rPr>
        <w:t>The following table summarizes the weighted average securities that were excluded from the computation of diluted net income per share attributable to common stock as their inclusion would have been antidilutive: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4"/>
              </w:rPr>
              <w:t>Three Months Ended June 30,</w:t>
            </w:r>
          </w:p>
        </w:tc>
        <w:tc>
          <w:tcPr>
            <w:tcW w:w="28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8"/>
              </w:rPr>
              <w:t>Six Months Ended June 30,</w:t>
            </w:r>
          </w:p>
        </w:tc>
        <w:tc>
          <w:tcPr>
            <w:tcW w:w="140" w:type="dxa"/>
            <w:vAlign w:val="bottom"/>
          </w:tcPr>
          <w:p>
            <w:pPr>
              <w:spacing w:after="0"/>
              <w:rPr>
                <w:sz w:val="20"/>
                <w:szCs w:val="20"/>
                <w:color w:val="auto"/>
              </w:rPr>
            </w:pPr>
          </w:p>
        </w:tc>
      </w:tr>
      <w:tr>
        <w:trPr>
          <w:trHeight w:val="239"/>
        </w:trPr>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50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211,922</w:t>
            </w:r>
          </w:p>
        </w:tc>
        <w:tc>
          <w:tcPr>
            <w:tcW w:w="26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5,819,439</w:t>
            </w:r>
          </w:p>
        </w:tc>
        <w:tc>
          <w:tcPr>
            <w:tcW w:w="28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3,578,915</w:t>
            </w:r>
          </w:p>
        </w:tc>
        <w:tc>
          <w:tcPr>
            <w:tcW w:w="26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6,195,625</w:t>
            </w:r>
          </w:p>
        </w:tc>
        <w:tc>
          <w:tcPr>
            <w:tcW w:w="140" w:type="dxa"/>
            <w:vAlign w:val="bottom"/>
            <w:shd w:val="clear" w:color="auto" w:fill="CFF0FC"/>
          </w:tcPr>
          <w:p>
            <w:pPr>
              <w:spacing w:after="0"/>
              <w:rPr>
                <w:sz w:val="20"/>
                <w:szCs w:val="20"/>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RSUs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1,260,566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624,260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1,285,901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588,426</w:t>
            </w:r>
          </w:p>
        </w:tc>
        <w:tc>
          <w:tcPr>
            <w:tcW w:w="14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588,173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397,944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588,173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397,944</w:t>
            </w:r>
          </w:p>
        </w:tc>
        <w:tc>
          <w:tcPr>
            <w:tcW w:w="140" w:type="dxa"/>
            <w:vAlign w:val="bottom"/>
            <w:shd w:val="clear" w:color="auto" w:fill="CFF0FC"/>
          </w:tcPr>
          <w:p>
            <w:pPr>
              <w:spacing w:after="0"/>
              <w:rPr>
                <w:sz w:val="21"/>
                <w:szCs w:val="21"/>
                <w:color w:val="auto"/>
              </w:rPr>
            </w:pPr>
          </w:p>
        </w:tc>
      </w:tr>
      <w:tr>
        <w:trPr>
          <w:trHeight w:val="756"/>
        </w:trPr>
        <w:tc>
          <w:tcPr>
            <w:tcW w:w="4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firstLine="494"/>
        <w:spacing w:after="0" w:line="290" w:lineRule="auto"/>
        <w:rPr>
          <w:sz w:val="20"/>
          <w:szCs w:val="20"/>
          <w:color w:val="auto"/>
        </w:rPr>
      </w:pPr>
      <w:r>
        <w:rPr>
          <w:rFonts w:ascii="Arial" w:cs="Arial" w:eastAsia="Arial" w:hAnsi="Arial"/>
          <w:sz w:val="16"/>
          <w:szCs w:val="16"/>
          <w:color w:val="auto"/>
        </w:rPr>
        <w:t>We are a leading provider of cloud-based bill payment technology and solutions. We deliver our next-generation product suite through a modern technology stack to more than 1,900 biller business and financial institution clients. Our platform was used by approximately 27 million consumers and businesses in North America in December 2022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57" w:lineRule="exact"/>
        <w:rPr>
          <w:sz w:val="20"/>
          <w:szCs w:val="20"/>
          <w:color w:val="auto"/>
        </w:rPr>
      </w:pPr>
    </w:p>
    <w:p>
      <w:pPr>
        <w:jc w:val="both"/>
        <w:ind w:right="20" w:firstLine="494"/>
        <w:spacing w:after="0" w:line="296" w:lineRule="auto"/>
        <w:rPr>
          <w:sz w:val="20"/>
          <w:szCs w:val="20"/>
          <w:color w:val="auto"/>
        </w:rPr>
      </w:pPr>
      <w:r>
        <w:rPr>
          <w:rFonts w:ascii="Arial" w:cs="Arial" w:eastAsia="Arial" w:hAnsi="Arial"/>
          <w:sz w:val="16"/>
          <w:szCs w:val="16"/>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Processed</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222"/>
              <w:spacing w:after="0"/>
              <w:rPr>
                <w:sz w:val="20"/>
                <w:szCs w:val="20"/>
                <w:color w:val="auto"/>
              </w:rPr>
            </w:pPr>
            <w:r>
              <w:rPr>
                <w:rFonts w:ascii="Arial" w:cs="Arial" w:eastAsia="Arial" w:hAnsi="Arial"/>
                <w:sz w:val="14"/>
                <w:szCs w:val="14"/>
                <w:b w:val="1"/>
                <w:bCs w:val="1"/>
                <w:color w:val="auto"/>
                <w:w w:val="93"/>
              </w:rPr>
              <w:t>Three Months Ended June 30,</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Growth</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Growth</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40" w:type="dxa"/>
            <w:vAlign w:val="bottom"/>
            <w:vMerge w:val="restart"/>
          </w:tcPr>
          <w:p>
            <w:pPr>
              <w:spacing w:after="0"/>
              <w:rPr>
                <w:sz w:val="20"/>
                <w:szCs w:val="20"/>
                <w:color w:val="auto"/>
              </w:rPr>
            </w:pPr>
            <w:r>
              <w:rPr>
                <w:rFonts w:ascii="Arial" w:cs="Arial" w:eastAsia="Arial" w:hAnsi="Arial"/>
                <w:sz w:val="18"/>
                <w:szCs w:val="18"/>
                <w:color w:val="auto"/>
              </w:rPr>
              <w:t>Transactions processed</w:t>
            </w:r>
          </w:p>
        </w:tc>
        <w:tc>
          <w:tcPr>
            <w:tcW w:w="76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4"/>
          </w:tcPr>
          <w:p>
            <w:pPr>
              <w:ind w:left="98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vMerge w:val="continue"/>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109.5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22.3 %</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94"/>
        <w:spacing w:after="0" w:line="296" w:lineRule="auto"/>
        <w:rPr>
          <w:sz w:val="20"/>
          <w:szCs w:val="20"/>
          <w:color w:val="auto"/>
        </w:rPr>
      </w:pPr>
      <w:r>
        <w:rPr>
          <w:rFonts w:ascii="Arial" w:cs="Arial" w:eastAsia="Arial" w:hAnsi="Arial"/>
          <w:sz w:val="16"/>
          <w:szCs w:val="16"/>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three and six months ended June 30, 2023 increased approximately 22.3% and 22.9%, respectively, as compared to the same periods in 2022. The increase was primarily driven by the addition of new billers and financial institutions and increased transactions from our existing billers and financial institutions.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21" w:lineRule="exact"/>
        <w:rPr>
          <w:sz w:val="20"/>
          <w:szCs w:val="20"/>
          <w:color w:val="auto"/>
        </w:rPr>
      </w:pPr>
    </w:p>
    <w:p>
      <w:pPr>
        <w:jc w:val="both"/>
        <w:ind w:right="20" w:firstLine="494"/>
        <w:spacing w:after="0" w:line="257"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2022 or the “2022 Form 10-K” and our Quarterly Report on Form 10-Q for the quarter ended March 31, 2023 or the “March 2023 Form 10-Q”.</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Economic and Inflationary Trends</w:t>
      </w:r>
    </w:p>
    <w:p>
      <w:pPr>
        <w:spacing w:after="0" w:line="117" w:lineRule="exact"/>
        <w:rPr>
          <w:sz w:val="20"/>
          <w:szCs w:val="20"/>
          <w:color w:val="auto"/>
        </w:rPr>
      </w:pPr>
    </w:p>
    <w:p>
      <w:pPr>
        <w:jc w:val="both"/>
        <w:ind w:right="20" w:firstLine="563"/>
        <w:spacing w:after="0" w:line="291" w:lineRule="auto"/>
        <w:rPr>
          <w:sz w:val="20"/>
          <w:szCs w:val="20"/>
          <w:color w:val="auto"/>
        </w:rPr>
      </w:pPr>
      <w:r>
        <w:rPr>
          <w:rFonts w:ascii="Arial" w:cs="Arial" w:eastAsia="Arial" w:hAnsi="Arial"/>
          <w:sz w:val="16"/>
          <w:szCs w:val="16"/>
          <w:color w:val="auto"/>
        </w:rPr>
        <w:t>In 2022 and continuing into 2023, the United States economy has experienced inflationary conditions, increased interest rates and consecutive quarters of decreased gross domestic product. While we believe our business is resilient and can generally weather unusual levels of inflation, the economic uncertainty and continuing inflationary pressures, which have been particularly acute in the utility sector, impacted our fiscal 2022 and first half of 2023 financial performance and are expected to impact our 2023 financial performance. Inflationary pressure is resulting in higher average bills, particularly in the utility sector, and increased interchange fees. While we are seeking to adjust our prices to address the inflationary pressures, our ability to do so typically lags behind the impact of inflation on our clients, the increase in average bill amounts and increased interchange fees. We intend to continue to manage through this uncertain economic environment by working closely with clients on implementations and price adjustments.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8" w:name="page19"/>
    <w:bookmarkEnd w:id="18"/>
    <w:p>
      <w:pPr>
        <w:jc w:val="both"/>
        <w:ind w:firstLine="494"/>
        <w:spacing w:after="0" w:line="277"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calculate adjusted EBITDA as net income before other income (expense) (which consists of interest income (expense), net and foreign exchange gain (loss)), depreciation and amortization of acquisition-related intangible assets and capitalized software development costs, and income taxes, adjusted to exclude the effects of stock-based compensation expense and certain nonrecurring expenses that management believes are not indicative of ongoing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and software and capitalized internal-use software development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use Non-GAAP Measures</w:t>
      </w:r>
    </w:p>
    <w:p>
      <w:pPr>
        <w:spacing w:after="0" w:line="117"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7"/>
          <w:szCs w:val="17"/>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78"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w w:val="94"/>
              </w:rPr>
              <w:t>Six Months Ended June 30,</w:t>
            </w:r>
          </w:p>
        </w:tc>
        <w:tc>
          <w:tcPr>
            <w:tcW w:w="140" w:type="dxa"/>
            <w:vAlign w:val="bottom"/>
          </w:tcPr>
          <w:p>
            <w:pPr>
              <w:spacing w:after="0"/>
              <w:rPr>
                <w:sz w:val="16"/>
                <w:szCs w:val="16"/>
                <w:color w:val="auto"/>
              </w:rPr>
            </w:pPr>
          </w:p>
        </w:tc>
      </w:tr>
      <w:tr>
        <w:trPr>
          <w:trHeight w:val="223"/>
        </w:trPr>
        <w:tc>
          <w:tcPr>
            <w:tcW w:w="5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2"/>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70"/>
              </w:rPr>
              <w:t>thousands)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5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45,862</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7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85,940</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140" w:type="dxa"/>
            <w:vAlign w:val="bottom"/>
            <w:shd w:val="clear" w:color="auto" w:fill="CFF0FC"/>
          </w:tcPr>
          <w:p>
            <w:pPr>
              <w:spacing w:after="0"/>
              <w:rPr>
                <w:sz w:val="21"/>
                <w:szCs w:val="2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Plus: other cost of revenue</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13,728</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27,181</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25,427</w:t>
            </w:r>
          </w:p>
        </w:tc>
        <w:tc>
          <w:tcPr>
            <w:tcW w:w="140" w:type="dxa"/>
            <w:vAlign w:val="bottom"/>
          </w:tcPr>
          <w:p>
            <w:pPr>
              <w:spacing w:after="0"/>
              <w:rPr>
                <w:sz w:val="21"/>
                <w:szCs w:val="21"/>
                <w:color w:val="auto"/>
              </w:rPr>
            </w:pPr>
          </w:p>
        </w:tc>
      </w:tr>
      <w:tr>
        <w:trPr>
          <w:trHeight w:val="277"/>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59,590</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113,121</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96,109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six months ended June 30, 2023 increased approximately 22.3% and 18.0%, respectively, as compared to the same periods in 2022. The increase was primarily driven by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and implementing certain cost improvement measures.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Adjusted Gross Profit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4"/>
              </w:rPr>
              <w:t>Six Months Ended June 30,</w:t>
            </w:r>
          </w:p>
        </w:tc>
        <w:tc>
          <w:tcPr>
            <w:tcW w:w="140" w:type="dxa"/>
            <w:vAlign w:val="bottom"/>
          </w:tcPr>
          <w:p>
            <w:pPr>
              <w:spacing w:after="0"/>
              <w:rPr>
                <w:sz w:val="16"/>
                <w:szCs w:val="16"/>
                <w:color w:val="auto"/>
              </w:rPr>
            </w:pPr>
          </w:p>
        </w:tc>
      </w:tr>
      <w:tr>
        <w:trPr>
          <w:trHeight w:val="223"/>
        </w:trPr>
        <w:tc>
          <w:tcPr>
            <w:tcW w:w="5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2"/>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70"/>
              </w:rPr>
              <w:t>thousands)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45,862</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7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85,940</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capitalized software development costs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140" w:type="dxa"/>
            <w:vAlign w:val="bottom"/>
            <w:shd w:val="clear" w:color="auto" w:fill="CFF0FC"/>
          </w:tcPr>
          <w:p>
            <w:pPr>
              <w:spacing w:after="0"/>
              <w:rPr>
                <w:sz w:val="21"/>
                <w:szCs w:val="21"/>
                <w:color w:val="auto"/>
              </w:rPr>
            </w:pP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Amortization of acquisition-related intangibles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49,961</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38,707</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93,651</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76,071</w:t>
            </w:r>
          </w:p>
        </w:tc>
        <w:tc>
          <w:tcPr>
            <w:tcW w:w="14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Adjusted gross profit for the three and six months ended June 30, 2023 increased 29.1% and 23.1%, respectively, as compared to the same periods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Adjusted gross profit improved in line with Contribution Profit. Adjusted gross profit as a percentage improved as a result of economies of scale.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gross profit is driven primarily by the same factors that impact gross profit with the exception of excluding the amortization in cost of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amortization was driven by additional capitalization of software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w w:val="99"/>
              </w:rPr>
              <w:t>Three Months Ended June 30,</w:t>
            </w:r>
          </w:p>
        </w:tc>
        <w:tc>
          <w:tcPr>
            <w:tcW w:w="440" w:type="dxa"/>
            <w:vAlign w:val="bottom"/>
          </w:tcPr>
          <w:p>
            <w:pPr>
              <w:spacing w:after="0"/>
              <w:rPr>
                <w:sz w:val="16"/>
                <w:szCs w:val="16"/>
                <w:color w:val="auto"/>
              </w:rPr>
            </w:pPr>
          </w:p>
        </w:tc>
        <w:tc>
          <w:tcPr>
            <w:tcW w:w="24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23"/>
        </w:trPr>
        <w:tc>
          <w:tcPr>
            <w:tcW w:w="5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2"/>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70"/>
              </w:rPr>
              <w:t>thousands)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 GAAP</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(2,451 )</w:t>
            </w:r>
          </w:p>
        </w:tc>
        <w:tc>
          <w:tcPr>
            <w:tcW w:w="44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(733 )</w:t>
            </w:r>
          </w:p>
        </w:tc>
      </w:tr>
      <w:tr>
        <w:trPr>
          <w:trHeight w:val="237"/>
        </w:trPr>
        <w:tc>
          <w:tcPr>
            <w:tcW w:w="540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(1,658 )</w:t>
            </w:r>
          </w:p>
        </w:tc>
        <w:tc>
          <w:tcPr>
            <w:tcW w:w="28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(98 )</w:t>
            </w:r>
          </w:p>
        </w:tc>
        <w:tc>
          <w:tcPr>
            <w:tcW w:w="4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(3,098 )</w:t>
            </w:r>
          </w:p>
        </w:tc>
        <w:tc>
          <w:tcPr>
            <w:tcW w:w="3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(90 )</w:t>
            </w:r>
          </w:p>
        </w:tc>
      </w:tr>
      <w:tr>
        <w:trPr>
          <w:trHeight w:val="249"/>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(2,693 )</w:t>
            </w:r>
          </w:p>
        </w:tc>
      </w:tr>
      <w:tr>
        <w:trPr>
          <w:trHeight w:val="237"/>
        </w:trPr>
        <w:tc>
          <w:tcPr>
            <w:tcW w:w="5400" w:type="dxa"/>
            <w:vAlign w:val="bottom"/>
          </w:tcPr>
          <w:p>
            <w:pPr>
              <w:ind w:left="120"/>
              <w:spacing w:after="0"/>
              <w:rPr>
                <w:sz w:val="20"/>
                <w:szCs w:val="20"/>
                <w:color w:val="auto"/>
              </w:rPr>
            </w:pPr>
            <w:r>
              <w:rPr>
                <w:rFonts w:ascii="Arial" w:cs="Arial" w:eastAsia="Arial" w:hAnsi="Arial"/>
                <w:sz w:val="18"/>
                <w:szCs w:val="18"/>
                <w:color w:val="auto"/>
              </w:rPr>
              <w:t>Amortization of capitalized software development costs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9,813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6,626</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FF0FC"/>
          </w:tcPr>
          <w:p>
            <w:pPr>
              <w:spacing w:after="0"/>
              <w:rPr>
                <w:sz w:val="21"/>
                <w:szCs w:val="21"/>
                <w:color w:val="auto"/>
              </w:rPr>
            </w:pPr>
          </w:p>
        </w:tc>
      </w:tr>
      <w:tr>
        <w:trPr>
          <w:trHeight w:val="243"/>
        </w:trPr>
        <w:tc>
          <w:tcPr>
            <w:tcW w:w="54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1"/>
                <w:szCs w:val="21"/>
                <w:color w:val="auto"/>
              </w:rPr>
            </w:pPr>
          </w:p>
        </w:tc>
      </w:tr>
      <w:tr>
        <w:trPr>
          <w:trHeight w:val="277"/>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11,922</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Adjustments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120"/>
              <w:spacing w:after="0"/>
              <w:rPr>
                <w:sz w:val="20"/>
                <w:szCs w:val="20"/>
                <w:color w:val="auto"/>
              </w:rPr>
            </w:pPr>
            <w:r>
              <w:rPr>
                <w:rFonts w:ascii="Arial" w:cs="Arial" w:eastAsia="Arial" w:hAnsi="Arial"/>
                <w:sz w:val="18"/>
                <w:szCs w:val="18"/>
                <w:color w:val="auto"/>
              </w:rPr>
              <w:t>Foreign exchange loss (gain)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(54 )</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(80 )</w:t>
            </w:r>
          </w:p>
        </w:tc>
      </w:tr>
      <w:tr>
        <w:trPr>
          <w:trHeight w:val="249"/>
        </w:trPr>
        <w:tc>
          <w:tcPr>
            <w:tcW w:w="5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14,205</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5,005</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22,619</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10,384</w:t>
            </w:r>
          </w:p>
        </w:tc>
        <w:tc>
          <w:tcPr>
            <w:tcW w:w="14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-831215</wp:posOffset>
            </wp:positionV>
            <wp:extent cx="294068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40685"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857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7747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jc w:val="both"/>
        <w:ind w:firstLine="494"/>
        <w:spacing w:after="0" w:line="296" w:lineRule="auto"/>
        <w:rPr>
          <w:sz w:val="20"/>
          <w:szCs w:val="20"/>
          <w:color w:val="auto"/>
        </w:rPr>
      </w:pPr>
      <w:r>
        <w:rPr>
          <w:rFonts w:ascii="Arial" w:cs="Arial" w:eastAsia="Arial" w:hAnsi="Arial"/>
          <w:sz w:val="16"/>
          <w:szCs w:val="16"/>
          <w:color w:val="auto"/>
        </w:rPr>
        <w:t>Adjusted EBITDA is a measure of profitability and generally is expected to move in line with revenue, contribution profit, gross profit and adjusted gross profit. Adjusted EBITDA increased 183.8% and 117.8% in the three and six months ended June 30, 2023 as compared to the same periods in 2022. The increase was primarily driven by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and implementing certain cost improvement measures.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36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23"/>
        </w:trPr>
        <w:tc>
          <w:tcPr>
            <w:tcW w:w="5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2"/>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70"/>
              </w:rPr>
              <w:t>thousands)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120"/>
              <w:spacing w:after="0"/>
              <w:rPr>
                <w:sz w:val="20"/>
                <w:szCs w:val="20"/>
                <w:color w:val="auto"/>
              </w:rPr>
            </w:pPr>
            <w:r>
              <w:rPr>
                <w:rFonts w:ascii="Arial" w:cs="Arial" w:eastAsia="Arial" w:hAnsi="Arial"/>
                <w:sz w:val="18"/>
                <w:szCs w:val="18"/>
                <w:color w:val="auto"/>
              </w:rPr>
              <w:t>Purchases of property and equipment and software</w:t>
            </w:r>
          </w:p>
        </w:tc>
        <w:tc>
          <w:tcPr>
            <w:tcW w:w="2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(286 )</w:t>
            </w:r>
          </w:p>
        </w:tc>
        <w:tc>
          <w:tcPr>
            <w:tcW w:w="26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(265 )</w:t>
            </w:r>
          </w:p>
        </w:tc>
        <w:tc>
          <w:tcPr>
            <w:tcW w:w="4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(353 )</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(795 )</w:t>
            </w:r>
          </w:p>
        </w:tc>
      </w:tr>
      <w:tr>
        <w:trPr>
          <w:trHeight w:val="249"/>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 assets acquired</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(100 )</w:t>
            </w:r>
          </w:p>
        </w:tc>
        <w:tc>
          <w:tcPr>
            <w:tcW w:w="4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(123 )</w:t>
            </w: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(8,392 )</w:t>
            </w:r>
          </w:p>
        </w:tc>
        <w:tc>
          <w:tcPr>
            <w:tcW w:w="260" w:type="dxa"/>
            <w:vAlign w:val="bottom"/>
          </w:tcPr>
          <w:p>
            <w:pPr>
              <w:spacing w:after="0"/>
              <w:rPr>
                <w:sz w:val="21"/>
                <w:szCs w:val="21"/>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(7,733 )</w:t>
            </w:r>
          </w:p>
        </w:tc>
        <w:tc>
          <w:tcPr>
            <w:tcW w:w="4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(16,611 )</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(14,464 )</w:t>
            </w:r>
          </w:p>
        </w:tc>
      </w:tr>
      <w:tr>
        <w:trPr>
          <w:trHeight w:val="277"/>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17,803</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14,280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(8,290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7"/>
        </w:trPr>
        <w:tc>
          <w:tcPr>
            <w:tcW w:w="5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(8,678 )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(8,098 )</w:t>
            </w:r>
          </w:p>
        </w:tc>
        <w:tc>
          <w:tcPr>
            <w:tcW w:w="44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(16,964 </w:t>
            </w:r>
            <w:r>
              <w:rPr>
                <w:rFonts w:ascii="Arial" w:cs="Arial" w:eastAsia="Arial" w:hAnsi="Arial"/>
                <w:sz w:val="18"/>
                <w:szCs w:val="18"/>
                <w:color w:val="auto"/>
                <w:highlight w:val="white"/>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(15,382 )</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(1,610 )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24,218</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-333375</wp:posOffset>
            </wp:positionV>
            <wp:extent cx="289750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7505" cy="179705"/>
                    </a:xfrm>
                    <a:prstGeom prst="rect">
                      <a:avLst/>
                    </a:prstGeom>
                    <a:noFill/>
                  </pic:spPr>
                </pic:pic>
              </a:graphicData>
            </a:graphic>
          </wp:anchor>
        </w:drawing>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increase in free cash flow for the three and six months ended June 30, 2023 was driven by higher cash provided by operating activities.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16"/>
                <w:szCs w:val="16"/>
                <w:color w:val="auto"/>
              </w:rPr>
            </w:pPr>
          </w:p>
        </w:tc>
        <w:tc>
          <w:tcPr>
            <w:tcW w:w="108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Six Months Ended June 30,</w:t>
            </w:r>
          </w:p>
        </w:tc>
        <w:tc>
          <w:tcPr>
            <w:tcW w:w="106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297,26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148,939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236,673</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$ 60,594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103,077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84,141</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22.5 %</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165,991</w:t>
            </w:r>
          </w:p>
        </w:tc>
        <w:tc>
          <w:tcPr>
            <w:tcW w:w="3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37"/>
        </w:trPr>
        <w:tc>
          <w:tcPr>
            <w:tcW w:w="3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45,862</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28.0 %</w:t>
            </w: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85,940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70,682</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300"/>
              <w:spacing w:after="0" w:line="243" w:lineRule="exact"/>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24"/>
                <w:szCs w:val="24"/>
                <w:i w:val="1"/>
                <w:iCs w:val="1"/>
                <w:color w:val="auto"/>
                <w:vertAlign w:val="superscript"/>
              </w:rPr>
              <w:t>(1)</w:t>
            </w: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30.8 %</w:t>
            </w:r>
          </w:p>
        </w:tc>
        <w:tc>
          <w:tcPr>
            <w:tcW w:w="2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29.9 %</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28.9 %</w:t>
            </w:r>
          </w:p>
        </w:tc>
        <w:tc>
          <w:tcPr>
            <w:tcW w:w="1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29.9 %</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10,907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7.1 %</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22,560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20,575</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21,599</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17,851</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21.0 %</w:t>
            </w:r>
          </w:p>
        </w:tc>
        <w:tc>
          <w:tcPr>
            <w:tcW w:w="1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41,863</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34,041</w:t>
            </w:r>
          </w:p>
        </w:tc>
        <w:tc>
          <w:tcPr>
            <w:tcW w:w="30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7,822</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23.0 %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(1,287 )</w:t>
            </w: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-12.8 %</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17,875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19,662</w:t>
            </w:r>
          </w:p>
        </w:tc>
        <w:tc>
          <w:tcPr>
            <w:tcW w:w="3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(1,787 )</w:t>
            </w:r>
          </w:p>
        </w:tc>
        <w:tc>
          <w:tcPr>
            <w:tcW w:w="2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41,236</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38,053</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8.4 %</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82,298</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74,278</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8,020</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(2,225 )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(3,596 )</w:t>
            </w:r>
          </w:p>
        </w:tc>
        <w:tc>
          <w:tcPr>
            <w:tcW w:w="660" w:type="dxa"/>
            <w:vAlign w:val="bottom"/>
          </w:tcPr>
          <w:p>
            <w:pPr>
              <w:jc w:val="right"/>
              <w:spacing w:after="0"/>
              <w:rPr>
                <w:sz w:val="20"/>
                <w:szCs w:val="20"/>
                <w:color w:val="auto"/>
              </w:rPr>
            </w:pPr>
            <w:r>
              <w:rPr>
                <w:rFonts w:ascii="Arial" w:cs="Arial" w:eastAsia="Arial" w:hAnsi="Arial"/>
                <w:sz w:val="18"/>
                <w:szCs w:val="18"/>
                <w:color w:val="auto"/>
              </w:rPr>
              <w:t>7,238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 (loss) gain</w:t>
            </w: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(61 )</w:t>
            </w: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-113.0 %</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(95 )</w:t>
            </w:r>
          </w:p>
        </w:tc>
        <w:tc>
          <w:tcPr>
            <w:tcW w:w="2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-118.8 %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(2,073 )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(3,426 )</w:t>
            </w:r>
          </w:p>
        </w:tc>
        <w:tc>
          <w:tcPr>
            <w:tcW w:w="660" w:type="dxa"/>
            <w:vAlign w:val="bottom"/>
          </w:tcPr>
          <w:p>
            <w:pPr>
              <w:jc w:val="right"/>
              <w:spacing w:after="0"/>
              <w:rPr>
                <w:sz w:val="20"/>
                <w:szCs w:val="20"/>
                <w:color w:val="auto"/>
              </w:rPr>
            </w:pPr>
            <w:r>
              <w:rPr>
                <w:rFonts w:ascii="Arial" w:cs="Arial" w:eastAsia="Arial" w:hAnsi="Arial"/>
                <w:sz w:val="18"/>
                <w:szCs w:val="18"/>
                <w:color w:val="auto"/>
              </w:rPr>
              <w:t>10,151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from (provision for) income</w:t>
            </w:r>
          </w:p>
        </w:tc>
        <w:tc>
          <w:tcPr>
            <w:tcW w:w="16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(438 )</w:t>
            </w:r>
          </w:p>
        </w:tc>
        <w:tc>
          <w:tcPr>
            <w:tcW w:w="20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(378 )</w:t>
            </w:r>
          </w:p>
        </w:tc>
        <w:tc>
          <w:tcPr>
            <w:tcW w:w="120" w:type="dxa"/>
            <w:vAlign w:val="bottom"/>
            <w:shd w:val="clear" w:color="auto" w:fill="CFF0FC"/>
          </w:tcPr>
          <w:p>
            <w:pPr>
              <w:spacing w:after="0"/>
              <w:rPr>
                <w:sz w:val="18"/>
                <w:szCs w:val="18"/>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(60 )</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(182 )</w:t>
            </w:r>
          </w:p>
        </w:tc>
        <w:tc>
          <w:tcPr>
            <w:tcW w:w="16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300" w:type="dxa"/>
            <w:vAlign w:val="bottom"/>
            <w:shd w:val="clear" w:color="auto" w:fill="CFF0FC"/>
          </w:tcPr>
          <w:p>
            <w:pPr>
              <w:spacing w:after="0"/>
              <w:rPr>
                <w:sz w:val="18"/>
                <w:szCs w:val="18"/>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(2,875 )</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15.9 %</w:t>
            </w:r>
          </w:p>
        </w:tc>
        <w:tc>
          <w:tcPr>
            <w:tcW w:w="16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-106.8 %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5,839</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(2,451 )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6,543</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(733 )</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  7,276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n/m - not meaningful</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-1542415</wp:posOffset>
            </wp:positionV>
            <wp:extent cx="8572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-1542415</wp:posOffset>
            </wp:positionV>
            <wp:extent cx="7683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-1542415</wp:posOffset>
            </wp:positionV>
            <wp:extent cx="85725"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-1542415</wp:posOffset>
            </wp:positionV>
            <wp:extent cx="7683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-1542415</wp:posOffset>
            </wp:positionV>
            <wp:extent cx="7747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-1542415</wp:posOffset>
            </wp:positionV>
            <wp:extent cx="85725"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-916940</wp:posOffset>
            </wp:positionV>
            <wp:extent cx="8572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-916940</wp:posOffset>
            </wp:positionV>
            <wp:extent cx="768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-916940</wp:posOffset>
            </wp:positionV>
            <wp:extent cx="8572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-916940</wp:posOffset>
            </wp:positionV>
            <wp:extent cx="7683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-916940</wp:posOffset>
            </wp:positionV>
            <wp:extent cx="774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-916940</wp:posOffset>
            </wp:positionV>
            <wp:extent cx="8572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-462280</wp:posOffset>
            </wp:positionV>
            <wp:extent cx="8572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-462280</wp:posOffset>
            </wp:positionV>
            <wp:extent cx="7683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-462280</wp:posOffset>
            </wp:positionV>
            <wp:extent cx="857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-462280</wp:posOffset>
            </wp:positionV>
            <wp:extent cx="7683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-462280</wp:posOffset>
            </wp:positionV>
            <wp:extent cx="7747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-462280</wp:posOffset>
            </wp:positionV>
            <wp:extent cx="857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ind w:left="200" w:hanging="192"/>
        <w:spacing w:after="0" w:line="213"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Gross margin is calculated as gross profit divided by revenue.</w:t>
      </w:r>
    </w:p>
    <w:p>
      <w:pPr>
        <w:spacing w:after="0" w:line="88" w:lineRule="exact"/>
        <w:rPr>
          <w:sz w:val="20"/>
          <w:szCs w:val="20"/>
          <w:color w:val="auto"/>
        </w:rPr>
      </w:pPr>
    </w:p>
    <w:p>
      <w:pPr>
        <w:ind w:right="340" w:firstLine="494"/>
        <w:spacing w:after="0" w:line="277"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940" w:type="dxa"/>
            <w:vAlign w:val="bottom"/>
            <w:gridSpan w:val="4"/>
          </w:tcPr>
          <w:p>
            <w:pPr>
              <w:ind w:left="7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5"/>
          </w:tcPr>
          <w:p>
            <w:pPr>
              <w:ind w:lef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spacing w:after="0"/>
              <w:rPr>
                <w:sz w:val="20"/>
                <w:szCs w:val="20"/>
                <w:color w:val="auto"/>
              </w:rPr>
            </w:pPr>
          </w:p>
        </w:tc>
        <w:tc>
          <w:tcPr>
            <w:tcW w:w="90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1520" w:type="dxa"/>
            <w:vAlign w:val="bottom"/>
            <w:gridSpan w:val="2"/>
          </w:tcPr>
          <w:p>
            <w:pPr>
              <w:spacing w:after="0"/>
              <w:rPr>
                <w:sz w:val="20"/>
                <w:szCs w:val="20"/>
                <w:color w:val="auto"/>
              </w:rPr>
            </w:pPr>
          </w:p>
        </w:tc>
        <w:tc>
          <w:tcPr>
            <w:tcW w:w="186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100.0 %</w:t>
            </w:r>
          </w:p>
        </w:tc>
        <w:tc>
          <w:tcPr>
            <w:tcW w:w="8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0"/>
              </w:rPr>
              <w:t>100.0 %</w:t>
            </w: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100.0 %</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69.2 %</w:t>
            </w:r>
          </w:p>
        </w:tc>
        <w:tc>
          <w:tcPr>
            <w:tcW w:w="820" w:type="dxa"/>
            <w:vAlign w:val="bottom"/>
          </w:tcPr>
          <w:p>
            <w:pPr>
              <w:spacing w:after="0"/>
              <w:rPr>
                <w:sz w:val="21"/>
                <w:szCs w:val="21"/>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70.1 %</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71.1 %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70.1 %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2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7.3 %</w:t>
            </w:r>
          </w:p>
        </w:tc>
        <w:tc>
          <w:tcPr>
            <w:tcW w:w="82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8.5 %</w:t>
            </w: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7.6 %</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14.5 %</w:t>
            </w:r>
          </w:p>
        </w:tc>
        <w:tc>
          <w:tcPr>
            <w:tcW w:w="8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14.9 %</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14.1 %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5.9 %</w:t>
            </w:r>
          </w:p>
        </w:tc>
        <w:tc>
          <w:tcPr>
            <w:tcW w:w="82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8.4 %</w:t>
            </w: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6.0 %</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27.7 </w:t>
            </w:r>
            <w:r>
              <w:rPr>
                <w:rFonts w:ascii="Arial" w:cs="Arial" w:eastAsia="Arial" w:hAnsi="Arial"/>
                <w:sz w:val="18"/>
                <w:szCs w:val="18"/>
                <w:color w:val="auto"/>
                <w:highlight w:val="white"/>
              </w:rPr>
              <w:t>%</w:t>
            </w:r>
          </w:p>
        </w:tc>
        <w:tc>
          <w:tcPr>
            <w:tcW w:w="8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color w:val="auto"/>
                <w:highlight w:val="white"/>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27.7 </w:t>
            </w:r>
            <w:r>
              <w:rPr>
                <w:rFonts w:ascii="Arial" w:cs="Arial" w:eastAsia="Arial" w:hAnsi="Arial"/>
                <w:sz w:val="18"/>
                <w:szCs w:val="18"/>
                <w:color w:val="auto"/>
                <w:highlight w:val="white"/>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color w:val="auto"/>
                <w:highlight w:val="white"/>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(loss) from operations</w:t>
            </w:r>
          </w:p>
        </w:tc>
        <w:tc>
          <w:tcPr>
            <w:tcW w:w="12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income, net</w:t>
            </w:r>
          </w:p>
        </w:tc>
        <w:tc>
          <w:tcPr>
            <w:tcW w:w="9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1.1 %</w:t>
            </w:r>
          </w:p>
        </w:tc>
        <w:tc>
          <w:tcPr>
            <w:tcW w:w="82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0.1 %</w:t>
            </w: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1.0 %</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Foreign exchange (loss) gain</w:t>
            </w:r>
          </w:p>
        </w:tc>
        <w:tc>
          <w:tcPr>
            <w:tcW w:w="1220" w:type="dxa"/>
            <w:vAlign w:val="bottom"/>
          </w:tcPr>
          <w:p>
            <w:pPr>
              <w:spacing w:after="0"/>
              <w:rPr>
                <w:sz w:val="21"/>
                <w:szCs w:val="21"/>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0.0 %</w:t>
            </w:r>
          </w:p>
        </w:tc>
        <w:tc>
          <w:tcPr>
            <w:tcW w:w="820" w:type="dxa"/>
            <w:vAlign w:val="bottom"/>
          </w:tcPr>
          <w:p>
            <w:pPr>
              <w:spacing w:after="0"/>
              <w:rPr>
                <w:sz w:val="21"/>
                <w:szCs w:val="21"/>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(loss) before income taxes</w:t>
            </w:r>
          </w:p>
        </w:tc>
        <w:tc>
          <w:tcPr>
            <w:tcW w:w="122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Pr>
          <w:p>
            <w:pPr>
              <w:ind w:left="120"/>
              <w:spacing w:after="0"/>
              <w:rPr>
                <w:sz w:val="20"/>
                <w:szCs w:val="20"/>
                <w:color w:val="auto"/>
              </w:rPr>
            </w:pPr>
            <w:r>
              <w:rPr>
                <w:rFonts w:ascii="Arial" w:cs="Arial" w:eastAsia="Arial" w:hAnsi="Arial"/>
                <w:sz w:val="18"/>
                <w:szCs w:val="18"/>
                <w:color w:val="auto"/>
              </w:rPr>
              <w:t>Benefit from (provision for) income taxes</w:t>
            </w:r>
          </w:p>
        </w:tc>
        <w:tc>
          <w:tcPr>
            <w:tcW w:w="122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-0.3 </w:t>
            </w:r>
            <w:r>
              <w:rPr>
                <w:rFonts w:ascii="Arial" w:cs="Arial" w:eastAsia="Arial" w:hAnsi="Arial"/>
                <w:sz w:val="18"/>
                <w:szCs w:val="18"/>
                <w:color w:val="auto"/>
                <w:highlight w:val="white"/>
              </w:rPr>
              <w:t>%</w:t>
            </w:r>
          </w:p>
        </w:tc>
        <w:tc>
          <w:tcPr>
            <w:tcW w:w="8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-0.3 </w:t>
            </w:r>
            <w:r>
              <w:rPr>
                <w:rFonts w:ascii="Arial" w:cs="Arial" w:eastAsia="Arial" w:hAnsi="Arial"/>
                <w:sz w:val="18"/>
                <w:szCs w:val="18"/>
                <w:color w:val="auto"/>
                <w:highlight w:val="white"/>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18"/>
                <w:szCs w:val="18"/>
                <w:color w:val="auto"/>
                <w:highlight w:val="white"/>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22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85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right="40" w:firstLine="499"/>
        <w:spacing w:after="0" w:line="263"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 and by an increase in revenue we received per transaction on a blended basis. Revenue increase was also driven by pricing improvements from customers related to our inflation management.</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32" w:right="29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driven by higher average bill amounts due primarily to inflation, as well as other direct costs associated with making our platform available to our billers. These higher costs were partially offset by cost improvements resulting from disinflation in the utility sector and certain cost improvement initiatives.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Gross margin improved for the three months ended June 30, 2023 due to adjusted pricing for certain existing customers.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developing and adding additional features and functionality to our platform. Additionally, we incurred increased stock-based compensation expense associated with routine and new hire grants.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increased stock-based compensation associated with routine and new hire grants.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The decrease in general and administrative expenses was primarily due to slower hiring, lower costs for our directors and officers insurance and corporate premiums, a reduction in lease costs and lower legal expenses.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The changes in other income (expense) was primarily due to the increase in interest income, net as a result of increases in the Federal Reserve rates which increased interest income on our government issued securities, which are included in cash and cash equivalents on the balance sheet.</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change in provision for income taxes for the three months ended June 30, 2023 as compared to the same period in the prior year, was primarily due to the change in the pre-tax earnings and the impact of the full valuation allowance.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 and by an increase in revenue we received per transaction on a blended basis. Revenue increase was also driven by pricing improvements from customers related to our inflation management.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driven by higher average bill amounts due primarily to inflation, as well as other direct costs associated with making our platform available to our billers. These higher costs were partially offset by cost improvements resulting from disinflation in the utility sector and certain cost improvement initiatives.</w:t>
      </w:r>
    </w:p>
    <w:p>
      <w:pPr>
        <w:spacing w:after="0" w:line="79"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Gross margin decreased for the six months ended June 30, 2023 due to increases in cost of revenues for other direct costs associated with making our platform available to our billers.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developing and adding additional features and functionality to our platform. Additionally, we incurred increased stock-based compensation expense associated with routine and new hire grants.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stock-based compensation associated with routine and new hire grants.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ind w:firstLine="494"/>
        <w:spacing w:after="0" w:line="277" w:lineRule="auto"/>
        <w:rPr>
          <w:sz w:val="20"/>
          <w:szCs w:val="20"/>
          <w:color w:val="auto"/>
        </w:rPr>
      </w:pPr>
      <w:r>
        <w:rPr>
          <w:rFonts w:ascii="Arial" w:cs="Arial" w:eastAsia="Arial" w:hAnsi="Arial"/>
          <w:sz w:val="18"/>
          <w:szCs w:val="18"/>
          <w:color w:val="auto"/>
        </w:rPr>
        <w:t>The decrease in general and administrative expenses was primarily due to slower hiring, lower costs for our directors and officers insurance and corporate premiums, a reduction in lease costs and lower legal expenses.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The changes in other income (expense) was primarily due to the increase in interest income, net as a result of increases in the Federal Reserve rates which increased interest income on our government issued securities, which are included in cash and cash equivalents on the balance sheet.</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change in provision for income taxes for the six months ended June 30, 2023 as compared to the same period in the prior year, was primarily due to the change in the pre-tax earnings and the impact of the full valuation allowance.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of June 30, 2023, we had $159.1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79"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condensed consolidated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w w:val="79"/>
              </w:rPr>
              <w:t>thousands)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40" w:type="dxa"/>
            <w:vAlign w:val="bottom"/>
            <w:shd w:val="clear" w:color="auto" w:fill="CFF0FC"/>
          </w:tcPr>
          <w:p>
            <w:pPr>
              <w:ind w:left="60"/>
              <w:spacing w:after="0"/>
              <w:rPr>
                <w:sz w:val="20"/>
                <w:szCs w:val="20"/>
                <w:color w:val="auto"/>
              </w:rPr>
            </w:pPr>
            <w:r>
              <w:rPr>
                <w:rFonts w:ascii="Arial" w:cs="Arial" w:eastAsia="Arial" w:hAnsi="Arial"/>
                <w:sz w:val="18"/>
                <w:szCs w:val="18"/>
                <w:color w:val="auto"/>
              </w:rPr>
              <w:t>Net cash provided by (used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31,244</w:t>
            </w:r>
          </w:p>
        </w:tc>
        <w:tc>
          <w:tcPr>
            <w:tcW w:w="34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7,092</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w w:val="91"/>
              </w:rPr>
              <w:t>(16,964 )</w:t>
            </w:r>
          </w:p>
        </w:tc>
        <w:tc>
          <w:tcPr>
            <w:tcW w:w="9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1"/>
              </w:rPr>
              <w:t>(15,382 )</w:t>
            </w:r>
          </w:p>
        </w:tc>
      </w:tr>
      <w:tr>
        <w:trPr>
          <w:trHeight w:val="237"/>
        </w:trPr>
        <w:tc>
          <w:tcPr>
            <w:tcW w:w="76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0"/>
                <w:szCs w:val="20"/>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rPr>
              <w:t>(1,610 )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24,218</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60"/>
              <w:spacing w:after="0"/>
              <w:rPr>
                <w:sz w:val="20"/>
                <w:szCs w:val="20"/>
                <w:color w:val="auto"/>
              </w:rPr>
            </w:pPr>
            <w:r>
              <w:rPr>
                <w:rFonts w:ascii="Arial" w:cs="Arial" w:eastAsia="Arial" w:hAnsi="Arial"/>
                <w:sz w:val="18"/>
                <w:szCs w:val="18"/>
                <w:color w:val="auto"/>
              </w:rPr>
              <w:t>Effects of foreign exchange on cash</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(97 )</w:t>
            </w:r>
          </w:p>
        </w:tc>
      </w:tr>
      <w:tr>
        <w:trPr>
          <w:trHeight w:val="237"/>
        </w:trPr>
        <w:tc>
          <w:tcPr>
            <w:tcW w:w="7640" w:type="dxa"/>
            <w:vAlign w:val="bottom"/>
            <w:tcBorders>
              <w:top w:val="single" w:sz="8" w:color="CFF0FC"/>
            </w:tcBorders>
          </w:tcPr>
          <w:p>
            <w:pPr>
              <w:ind w:left="60"/>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12,783</w:t>
            </w:r>
          </w:p>
        </w:tc>
        <w:tc>
          <w:tcPr>
            <w:tcW w:w="34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15,831</w:t>
            </w:r>
          </w:p>
        </w:tc>
        <w:tc>
          <w:tcPr>
            <w:tcW w:w="140" w:type="dxa"/>
            <w:vAlign w:val="bottom"/>
            <w:tcBorders>
              <w:top w:val="single" w:sz="8" w:color="CFF0FC"/>
            </w:tcBorders>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939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firstLine="494"/>
        <w:spacing w:after="0" w:line="296" w:lineRule="auto"/>
        <w:rPr>
          <w:sz w:val="20"/>
          <w:szCs w:val="20"/>
          <w:color w:val="auto"/>
        </w:rPr>
      </w:pPr>
      <w:r>
        <w:rPr>
          <w:rFonts w:ascii="Arial" w:cs="Arial" w:eastAsia="Arial" w:hAnsi="Arial"/>
          <w:sz w:val="16"/>
          <w:szCs w:val="16"/>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six months ended June 30, 2023 was $31.2 million. Net income was $6.5 million, adjusted for non-cash charges of $21.3 million consisting primarily of depreciation and amortization, stock-based compensation, amortization of contract assets and non-cash lease expense, which contributed positively to operating activities. This was increased by net cash inflows of $3.4 million provided by changes in our operating assets and liabilities.</w:t>
      </w:r>
    </w:p>
    <w:p>
      <w:pPr>
        <w:spacing w:after="0" w:line="53"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Net cash provided by operating activities for the six months ended June 30, 2022 was $7.1 million. Net loss was $0.7 million, adjusted for non-cash charges of $12.8 million consisting primarily of depreciation and amortization, stock-based compensation, and non-cash lease expense, which contributed positively to operating activities. This was offset by net cash outflows of $4.9 million provided by changes in our operating assets and liabilities.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2023 consisted of $16.6 million of capitalized software development costs and $0.4 million of purchases of property and equipment.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jc w:val="both"/>
        <w:ind w:firstLine="49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consisted of $14.5 million of capitalized software development costs and $0.8 million for purchases of property and equipment.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17"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2023 consisted of $1.7 million of payments on other financing obligations and $0.1 million of payments on finance leases.</w:t>
      </w:r>
    </w:p>
    <w:p>
      <w:pPr>
        <w:spacing w:after="0" w:line="62"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2022 consisted of an increase in financial institution funds in-transit of $25.9 million and proceeds from stock option exercises of $0.3 million, offset by $1.9 million of payments on finance leases and other financing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2022 Form 10-K. There have been no material changes in our critical accounting policies and estimates since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94"/>
        <w:spacing w:after="0" w:line="342" w:lineRule="auto"/>
        <w:rPr>
          <w:sz w:val="20"/>
          <w:szCs w:val="20"/>
          <w:color w:val="auto"/>
        </w:rPr>
      </w:pPr>
      <w:r>
        <w:rPr>
          <w:rFonts w:ascii="Arial" w:cs="Arial" w:eastAsia="Arial" w:hAnsi="Arial"/>
          <w:sz w:val="16"/>
          <w:szCs w:val="16"/>
          <w:color w:val="auto"/>
        </w:rPr>
        <w:t>There have been no material changes in our exposures to market risk since December 31, 2022. For details on the Company’s interest rate, foreign currency exchange, and inflation risks, see Part I, Item 7A. “Quantitative and Qualitative Information About Market Risk” in our 2022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547"/>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June 30, 2023,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17" w:lineRule="exact"/>
        <w:rPr>
          <w:sz w:val="20"/>
          <w:szCs w:val="20"/>
          <w:color w:val="auto"/>
        </w:rPr>
      </w:pPr>
    </w:p>
    <w:p>
      <w:pPr>
        <w:jc w:val="both"/>
        <w:ind w:firstLine="557"/>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June 30, 2023, our material weaknesses were as follows:</w:t>
      </w:r>
    </w:p>
    <w:p>
      <w:pPr>
        <w:spacing w:after="0" w:line="76" w:lineRule="exact"/>
        <w:rPr>
          <w:sz w:val="20"/>
          <w:szCs w:val="20"/>
          <w:color w:val="auto"/>
        </w:rPr>
      </w:pPr>
    </w:p>
    <w:p>
      <w:pPr>
        <w:jc w:val="both"/>
        <w:ind w:left="10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79"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ind w:left="1020"/>
        <w:spacing w:after="0" w:line="277" w:lineRule="auto"/>
        <w:rPr>
          <w:sz w:val="20"/>
          <w:szCs w:val="20"/>
          <w:color w:val="auto"/>
        </w:rPr>
      </w:pPr>
      <w:r>
        <w:rPr>
          <w:rFonts w:ascii="Arial" w:cs="Arial" w:eastAsia="Arial" w:hAnsi="Arial"/>
          <w:sz w:val="18"/>
          <w:szCs w:val="18"/>
          <w:color w:val="auto"/>
        </w:rPr>
        <w:t>to ensure appropriate segregation of duties and that adequately restrict user and privileged access to financial applications, programs and data to appropriate company personnel.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17" w:lineRule="exact"/>
        <w:rPr>
          <w:sz w:val="20"/>
          <w:szCs w:val="20"/>
          <w:color w:val="auto"/>
        </w:rPr>
      </w:pPr>
    </w:p>
    <w:p>
      <w:pPr>
        <w:ind w:firstLine="494"/>
        <w:spacing w:after="0" w:line="277" w:lineRule="auto"/>
        <w:rPr>
          <w:sz w:val="20"/>
          <w:szCs w:val="20"/>
          <w:color w:val="auto"/>
        </w:rPr>
      </w:pPr>
      <w:r>
        <w:rPr>
          <w:rFonts w:ascii="Arial" w:cs="Arial" w:eastAsia="Arial" w:hAnsi="Arial"/>
          <w:sz w:val="18"/>
          <w:szCs w:val="18"/>
          <w:color w:val="auto"/>
        </w:rPr>
        <w:t>We believe we have made significant progress toward remediation of the material weaknesses described above. We have completed the following remediation measures:</w:t>
      </w:r>
    </w:p>
    <w:p>
      <w:pPr>
        <w:spacing w:after="0" w:line="62" w:lineRule="exact"/>
        <w:rPr>
          <w:sz w:val="20"/>
          <w:szCs w:val="20"/>
          <w:color w:val="auto"/>
        </w:rPr>
      </w:pPr>
    </w:p>
    <w:p>
      <w:pPr>
        <w:ind w:left="1540" w:hanging="514"/>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updated the design of our general ledger accounting system to allow for effective restricted access and segregation of duties to govern the preparation and review of journal entries;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management review controls over journal entries and the identification and review of complex transactions;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secured the general ledger accounting system by implementing Single Sign-On (SSO); and</w:t>
      </w:r>
    </w:p>
    <w:p>
      <w:pPr>
        <w:spacing w:after="0" w:line="117" w:lineRule="exact"/>
        <w:rPr>
          <w:rFonts w:ascii="Arial" w:cs="Arial" w:eastAsia="Arial" w:hAnsi="Arial"/>
          <w:sz w:val="18"/>
          <w:szCs w:val="18"/>
          <w:color w:val="auto"/>
        </w:rPr>
      </w:pPr>
    </w:p>
    <w:p>
      <w:pPr>
        <w:ind w:left="520" w:right="180" w:firstLine="506"/>
        <w:spacing w:after="0" w:line="375" w:lineRule="auto"/>
        <w:tabs>
          <w:tab w:leader="none" w:pos="15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additional change management and access controls for our relevant IT applications to further restrict privileged access. Additional remediation measures are ongoing and include the following:</w:t>
      </w:r>
    </w:p>
    <w:p>
      <w:pPr>
        <w:spacing w:after="0" w:line="1"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controls to review activities, which may materially affect our financial statements, for those users who have privileged access; and</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hire additional personnel with public company experience for our accounting and finance function.</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the risk factors previously disclosed in Item 1A. of our 2022 Form 10-K and our March 2023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80" w:firstLine="494"/>
        <w:spacing w:after="0" w:line="223" w:lineRule="exact"/>
        <w:rPr>
          <w:sz w:val="20"/>
          <w:szCs w:val="20"/>
          <w:color w:val="auto"/>
        </w:rPr>
      </w:pPr>
      <w:r>
        <w:rPr>
          <w:rFonts w:ascii="Arial" w:cs="Arial" w:eastAsia="Arial" w:hAnsi="Arial"/>
          <w:sz w:val="18"/>
          <w:szCs w:val="18"/>
          <w:color w:val="auto"/>
        </w:rPr>
        <w:t>During the quarter ended June 30, 2023,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3"/>
          </w:tcPr>
          <w:p>
            <w:pPr>
              <w:ind w:left="240"/>
              <w:spacing w:after="0"/>
              <w:rPr>
                <w:sz w:val="20"/>
                <w:szCs w:val="20"/>
                <w:color w:val="auto"/>
              </w:rPr>
            </w:pPr>
            <w:r>
              <w:rPr>
                <w:rFonts w:ascii="Arial" w:cs="Arial" w:eastAsia="Arial" w:hAnsi="Arial"/>
                <w:sz w:val="16"/>
                <w:szCs w:val="16"/>
                <w:b w:val="1"/>
                <w:bCs w:val="1"/>
                <w:color w:val="auto"/>
                <w:w w:val="94"/>
              </w:rPr>
              <w:t>Incorporated by Reference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2"/>
                <w:szCs w:val="2"/>
                <w:color w:val="auto"/>
              </w:rPr>
            </w:pPr>
          </w:p>
        </w:tc>
        <w:tc>
          <w:tcPr>
            <w:tcW w:w="4160" w:type="dxa"/>
            <w:vAlign w:val="bottom"/>
            <w:gridSpan w:val="16"/>
            <w:vMerge w:val="restart"/>
          </w:tcPr>
          <w:p>
            <w:pPr>
              <w:ind w:left="168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gridSpan w:val="16"/>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File No.</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c>
          <w:tcPr>
            <w:tcW w:w="0" w:type="dxa"/>
            <w:vAlign w:val="bottom"/>
          </w:tcPr>
          <w:p>
            <w:pPr>
              <w:spacing w:after="0"/>
              <w:rPr>
                <w:sz w:val="1"/>
                <w:szCs w:val="1"/>
                <w:color w:val="auto"/>
              </w:rPr>
            </w:pPr>
          </w:p>
        </w:tc>
      </w:tr>
      <w:tr>
        <w:trPr>
          <w:trHeight w:val="203"/>
        </w:trPr>
        <w:tc>
          <w:tcPr>
            <w:tcW w:w="900" w:type="dxa"/>
            <w:vAlign w:val="bottom"/>
          </w:tcPr>
          <w:p>
            <w:pPr>
              <w:ind w:left="160"/>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Furnished</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76"/>
        </w:trPr>
        <w:tc>
          <w:tcPr>
            <w:tcW w:w="900" w:type="dxa"/>
            <w:vAlign w:val="bottom"/>
          </w:tcPr>
          <w:p>
            <w:pPr>
              <w:ind w:left="20"/>
              <w:spacing w:after="0" w:line="176" w:lineRule="exact"/>
              <w:rPr>
                <w:sz w:val="20"/>
                <w:szCs w:val="20"/>
                <w:color w:val="auto"/>
              </w:rPr>
            </w:pPr>
            <w:r>
              <w:rPr>
                <w:rFonts w:ascii="Arial" w:cs="Arial" w:eastAsia="Arial" w:hAnsi="Arial"/>
                <w:sz w:val="17"/>
                <w:szCs w:val="17"/>
                <w:color w:val="auto"/>
              </w:rPr>
              <w:t>3.1.1</w:t>
            </w:r>
          </w:p>
        </w:tc>
        <w:tc>
          <w:tcPr>
            <w:tcW w:w="140" w:type="dxa"/>
            <w:vAlign w:val="bottom"/>
          </w:tcPr>
          <w:p>
            <w:pPr>
              <w:spacing w:after="0"/>
              <w:rPr>
                <w:sz w:val="15"/>
                <w:szCs w:val="15"/>
                <w:color w:val="auto"/>
              </w:rPr>
            </w:pPr>
          </w:p>
        </w:tc>
        <w:tc>
          <w:tcPr>
            <w:tcW w:w="3740" w:type="dxa"/>
            <w:vAlign w:val="bottom"/>
            <w:tcBorders>
              <w:bottom w:val="single" w:sz="8" w:color="0000FF"/>
            </w:tcBorders>
            <w:gridSpan w:val="8"/>
          </w:tcPr>
          <w:p>
            <w:pPr>
              <w:spacing w:after="0" w:line="176" w:lineRule="exact"/>
              <w:rPr>
                <w:rFonts w:ascii="Arial" w:cs="Arial" w:eastAsia="Arial" w:hAnsi="Arial"/>
                <w:sz w:val="17"/>
                <w:szCs w:val="17"/>
                <w:color w:val="0000FF"/>
                <w:w w:val="92"/>
              </w:rPr>
            </w:pPr>
            <w:hyperlink r:id="rId216">
              <w:r>
                <w:rPr>
                  <w:rFonts w:ascii="Arial" w:cs="Arial" w:eastAsia="Arial" w:hAnsi="Arial"/>
                  <w:sz w:val="17"/>
                  <w:szCs w:val="17"/>
                  <w:color w:val="0000FF"/>
                  <w:w w:val="92"/>
                </w:rPr>
                <w:t>Amended and Restated Certificate of Incorporation of</w:t>
              </w:r>
            </w:hyperlink>
          </w:p>
        </w:tc>
        <w:tc>
          <w:tcPr>
            <w:tcW w:w="42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7"/>
                <w:szCs w:val="17"/>
                <w:color w:val="auto"/>
                <w:w w:val="98"/>
              </w:rPr>
              <w:t>8-K</w:t>
            </w:r>
          </w:p>
        </w:tc>
        <w:tc>
          <w:tcPr>
            <w:tcW w:w="12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7"/>
                <w:szCs w:val="17"/>
                <w:color w:val="auto"/>
                <w:w w:val="90"/>
              </w:rPr>
              <w:t>001-40429</w:t>
            </w:r>
          </w:p>
        </w:tc>
        <w:tc>
          <w:tcPr>
            <w:tcW w:w="14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7"/>
                <w:szCs w:val="17"/>
                <w:color w:val="auto"/>
                <w:w w:val="92"/>
              </w:rPr>
              <w:t>3.1</w:t>
            </w:r>
          </w:p>
        </w:tc>
        <w:tc>
          <w:tcPr>
            <w:tcW w:w="14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7"/>
                <w:szCs w:val="17"/>
                <w:color w:val="auto"/>
                <w:w w:val="91"/>
              </w:rPr>
              <w:t>May 28, 2021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Borders>
              <w:bottom w:val="single" w:sz="8" w:color="0000FF"/>
            </w:tcBorders>
          </w:tcPr>
          <w:p>
            <w:pPr>
              <w:spacing w:after="0" w:line="183" w:lineRule="exact"/>
              <w:rPr>
                <w:rFonts w:ascii="Arial" w:cs="Arial" w:eastAsia="Arial" w:hAnsi="Arial"/>
                <w:sz w:val="17"/>
                <w:szCs w:val="17"/>
                <w:color w:val="0000FF"/>
                <w:w w:val="91"/>
              </w:rPr>
            </w:pPr>
            <w:hyperlink r:id="rId216">
              <w:r>
                <w:rPr>
                  <w:rFonts w:ascii="Arial" w:cs="Arial" w:eastAsia="Arial" w:hAnsi="Arial"/>
                  <w:sz w:val="17"/>
                  <w:szCs w:val="17"/>
                  <w:color w:val="0000FF"/>
                  <w:w w:val="91"/>
                </w:rPr>
                <w:t>Paymentus Holdings, Inc.</w:t>
              </w:r>
            </w:hyperlink>
          </w:p>
        </w:tc>
        <w:tc>
          <w:tcPr>
            <w:tcW w:w="2380" w:type="dxa"/>
            <w:vAlign w:val="bottom"/>
            <w:gridSpan w:val="15"/>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20"/>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9"/>
                <w:szCs w:val="19"/>
                <w:color w:val="auto"/>
              </w:rPr>
            </w:pPr>
          </w:p>
        </w:tc>
        <w:tc>
          <w:tcPr>
            <w:tcW w:w="38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Amendment to Amended and Restated Certificate of</w:t>
            </w:r>
          </w:p>
        </w:tc>
        <w:tc>
          <w:tcPr>
            <w:tcW w:w="340" w:type="dxa"/>
            <w:vAlign w:val="bottom"/>
            <w:gridSpan w:val="6"/>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11"/>
        </w:trPr>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160" w:type="dxa"/>
            <w:vAlign w:val="bottom"/>
            <w:gridSpan w:val="16"/>
            <w:vMerge w:val="restart"/>
          </w:tcPr>
          <w:p>
            <w:pPr>
              <w:spacing w:after="0" w:line="196" w:lineRule="exact"/>
              <w:rPr>
                <w:sz w:val="20"/>
                <w:szCs w:val="20"/>
                <w:color w:val="auto"/>
              </w:rPr>
            </w:pPr>
            <w:r>
              <w:rPr>
                <w:rFonts w:ascii="Arial" w:cs="Arial" w:eastAsia="Arial" w:hAnsi="Arial"/>
                <w:sz w:val="18"/>
                <w:szCs w:val="18"/>
                <w:color w:val="0000FF"/>
              </w:rPr>
              <w:t>Incorporation of Paymentus Holdings, Inc.</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160" w:type="dxa"/>
            <w:vAlign w:val="bottom"/>
            <w:gridSpan w:val="16"/>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4160" w:type="dxa"/>
            <w:vAlign w:val="bottom"/>
            <w:gridSpan w:val="16"/>
          </w:tcPr>
          <w:p>
            <w:pPr>
              <w:spacing w:after="0"/>
              <w:rPr>
                <w:rFonts w:ascii="Arial" w:cs="Arial" w:eastAsia="Arial" w:hAnsi="Arial"/>
                <w:sz w:val="17"/>
                <w:szCs w:val="17"/>
                <w:color w:val="0000FF"/>
                <w:w w:val="91"/>
              </w:rPr>
            </w:pPr>
            <w:hyperlink r:id="rId217">
              <w:r>
                <w:rPr>
                  <w:rFonts w:ascii="Arial" w:cs="Arial" w:eastAsia="Arial" w:hAnsi="Arial"/>
                  <w:sz w:val="17"/>
                  <w:szCs w:val="17"/>
                  <w:color w:val="0000FF"/>
                  <w:w w:val="91"/>
                </w:rPr>
                <w:t>Amended and Restated Bylaws of Paymentus Holdings, Inc.</w:t>
              </w:r>
            </w:hyperlink>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260" w:type="dxa"/>
            <w:vAlign w:val="bottom"/>
            <w:gridSpan w:val="2"/>
          </w:tcPr>
          <w:p>
            <w:pPr>
              <w:jc w:val="center"/>
              <w:ind w:left="35"/>
              <w:spacing w:after="0"/>
              <w:rPr>
                <w:sz w:val="20"/>
                <w:szCs w:val="20"/>
                <w:color w:val="auto"/>
              </w:rPr>
            </w:pPr>
            <w:r>
              <w:rPr>
                <w:rFonts w:ascii="Arial" w:cs="Arial" w:eastAsia="Arial" w:hAnsi="Arial"/>
                <w:sz w:val="17"/>
                <w:szCs w:val="17"/>
                <w:color w:val="auto"/>
                <w:w w:val="90"/>
              </w:rPr>
              <w:t>001-40429</w:t>
            </w:r>
          </w:p>
        </w:tc>
        <w:tc>
          <w:tcPr>
            <w:tcW w:w="1040" w:type="dxa"/>
            <w:vAlign w:val="bottom"/>
            <w:gridSpan w:val="2"/>
          </w:tcPr>
          <w:p>
            <w:pPr>
              <w:jc w:val="center"/>
              <w:ind w:left="55"/>
              <w:spacing w:after="0"/>
              <w:rPr>
                <w:sz w:val="20"/>
                <w:szCs w:val="20"/>
                <w:color w:val="auto"/>
              </w:rPr>
            </w:pPr>
            <w:r>
              <w:rPr>
                <w:rFonts w:ascii="Arial" w:cs="Arial" w:eastAsia="Arial" w:hAnsi="Arial"/>
                <w:sz w:val="17"/>
                <w:szCs w:val="17"/>
                <w:color w:val="auto"/>
                <w:w w:val="92"/>
              </w:rPr>
              <w:t>3.2</w:t>
            </w:r>
          </w:p>
        </w:tc>
        <w:tc>
          <w:tcPr>
            <w:tcW w:w="140" w:type="dxa"/>
            <w:vAlign w:val="bottom"/>
          </w:tcPr>
          <w:p>
            <w:pPr>
              <w:spacing w:after="0"/>
              <w:rPr>
                <w:sz w:val="18"/>
                <w:szCs w:val="18"/>
                <w:color w:val="auto"/>
              </w:rPr>
            </w:pPr>
          </w:p>
        </w:tc>
        <w:tc>
          <w:tcPr>
            <w:tcW w:w="1260" w:type="dxa"/>
            <w:vAlign w:val="bottom"/>
          </w:tcPr>
          <w:p>
            <w:pPr>
              <w:jc w:val="center"/>
              <w:ind w:right="36"/>
              <w:spacing w:after="0"/>
              <w:rPr>
                <w:sz w:val="20"/>
                <w:szCs w:val="20"/>
                <w:color w:val="auto"/>
              </w:rPr>
            </w:pPr>
            <w:r>
              <w:rPr>
                <w:rFonts w:ascii="Arial" w:cs="Arial" w:eastAsia="Arial" w:hAnsi="Arial"/>
                <w:sz w:val="17"/>
                <w:szCs w:val="17"/>
                <w:color w:val="auto"/>
                <w:w w:val="91"/>
              </w:rPr>
              <w:t>November 14,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7"/>
                <w:szCs w:val="17"/>
                <w:color w:val="auto"/>
                <w:w w:val="89"/>
              </w:rPr>
              <w:t>2022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900" w:type="dxa"/>
            <w:vAlign w:val="bottom"/>
          </w:tcPr>
          <w:p>
            <w:pPr>
              <w:ind w:left="20"/>
              <w:spacing w:after="0" w:line="193" w:lineRule="exact"/>
              <w:rPr>
                <w:sz w:val="20"/>
                <w:szCs w:val="20"/>
                <w:color w:val="auto"/>
              </w:rPr>
            </w:pPr>
            <w:r>
              <w:rPr>
                <w:rFonts w:ascii="Arial" w:cs="Arial" w:eastAsia="Arial" w:hAnsi="Arial"/>
                <w:sz w:val="17"/>
                <w:szCs w:val="17"/>
                <w:color w:val="auto"/>
              </w:rPr>
              <w:t>19.1</w:t>
            </w:r>
          </w:p>
        </w:tc>
        <w:tc>
          <w:tcPr>
            <w:tcW w:w="140" w:type="dxa"/>
            <w:vAlign w:val="bottom"/>
          </w:tcPr>
          <w:p>
            <w:pPr>
              <w:spacing w:after="0"/>
              <w:rPr>
                <w:sz w:val="16"/>
                <w:szCs w:val="16"/>
                <w:color w:val="auto"/>
              </w:rPr>
            </w:pPr>
          </w:p>
        </w:tc>
        <w:tc>
          <w:tcPr>
            <w:tcW w:w="4160" w:type="dxa"/>
            <w:vAlign w:val="bottom"/>
            <w:gridSpan w:val="16"/>
          </w:tcPr>
          <w:p>
            <w:pPr>
              <w:spacing w:after="0" w:line="193" w:lineRule="exact"/>
              <w:rPr>
                <w:sz w:val="20"/>
                <w:szCs w:val="20"/>
                <w:color w:val="auto"/>
              </w:rPr>
            </w:pPr>
            <w:r>
              <w:rPr>
                <w:rFonts w:ascii="Arial" w:cs="Arial" w:eastAsia="Arial" w:hAnsi="Arial"/>
                <w:sz w:val="17"/>
                <w:szCs w:val="17"/>
                <w:color w:val="0000FF"/>
              </w:rPr>
              <w:t>Paymentus Holdings, Inc. Insider Trading Policy</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jc w:val="center"/>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8"/>
                <w:szCs w:val="18"/>
                <w:color w:val="auto"/>
              </w:rPr>
            </w:pPr>
          </w:p>
        </w:tc>
        <w:tc>
          <w:tcPr>
            <w:tcW w:w="38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4"/>
              </w:rPr>
              <w:t>Certification of Principal Executive Officer Pursuant to</w:t>
            </w:r>
          </w:p>
        </w:tc>
        <w:tc>
          <w:tcPr>
            <w:tcW w:w="32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7"/>
                <w:szCs w:val="17"/>
                <w:color w:val="0000FF"/>
                <w:w w:val="90"/>
              </w:rPr>
              <w:t>Rules 13a-14(a) and 15d-14(a) under the Securities</w:t>
            </w:r>
          </w:p>
        </w:tc>
        <w:tc>
          <w:tcPr>
            <w:tcW w:w="60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00" w:type="dxa"/>
            <w:vAlign w:val="bottom"/>
            <w:tcBorders>
              <w:bottom w:val="single" w:sz="8" w:color="0000FF"/>
            </w:tcBorders>
            <w:gridSpan w:val="14"/>
          </w:tcPr>
          <w:p>
            <w:pPr>
              <w:spacing w:after="0" w:line="183" w:lineRule="exact"/>
              <w:rPr>
                <w:sz w:val="20"/>
                <w:szCs w:val="20"/>
                <w:color w:val="auto"/>
              </w:rPr>
            </w:pPr>
            <w:r>
              <w:rPr>
                <w:rFonts w:ascii="Arial" w:cs="Arial" w:eastAsia="Arial" w:hAnsi="Arial"/>
                <w:sz w:val="17"/>
                <w:szCs w:val="17"/>
                <w:color w:val="0000FF"/>
                <w:w w:val="91"/>
              </w:rPr>
              <w:t>Exchange Act of 1934, as Adopted Pursuant to Section 302</w:t>
            </w:r>
          </w:p>
        </w:tc>
        <w:tc>
          <w:tcPr>
            <w:tcW w:w="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gridSpan w:val="16"/>
          </w:tcPr>
          <w:p>
            <w:pPr>
              <w:spacing w:after="0" w:line="183" w:lineRule="exact"/>
              <w:rPr>
                <w:sz w:val="20"/>
                <w:szCs w:val="20"/>
                <w:color w:val="auto"/>
              </w:rPr>
            </w:pPr>
            <w:r>
              <w:rPr>
                <w:rFonts w:ascii="Arial" w:cs="Arial" w:eastAsia="Arial" w:hAnsi="Arial"/>
                <w:sz w:val="17"/>
                <w:szCs w:val="17"/>
                <w:color w:val="0000FF"/>
              </w:rPr>
              <w:t>of the Sarbanes-Oxley Act of 2002.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8"/>
                <w:szCs w:val="18"/>
                <w:color w:val="auto"/>
              </w:rPr>
            </w:pPr>
          </w:p>
        </w:tc>
        <w:tc>
          <w:tcPr>
            <w:tcW w:w="378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4"/>
              </w:rPr>
              <w:t>Certification of Principal Financial Officer Pursuant to</w:t>
            </w:r>
          </w:p>
        </w:tc>
        <w:tc>
          <w:tcPr>
            <w:tcW w:w="38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7"/>
                <w:szCs w:val="17"/>
                <w:color w:val="0000FF"/>
                <w:w w:val="90"/>
              </w:rPr>
              <w:t>Rules 13a-14(a) and 15d-14(a) under the Securities</w:t>
            </w:r>
          </w:p>
        </w:tc>
        <w:tc>
          <w:tcPr>
            <w:tcW w:w="60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00" w:type="dxa"/>
            <w:vAlign w:val="bottom"/>
            <w:tcBorders>
              <w:bottom w:val="single" w:sz="8" w:color="0000FF"/>
            </w:tcBorders>
            <w:gridSpan w:val="14"/>
          </w:tcPr>
          <w:p>
            <w:pPr>
              <w:spacing w:after="0" w:line="183" w:lineRule="exact"/>
              <w:rPr>
                <w:sz w:val="20"/>
                <w:szCs w:val="20"/>
                <w:color w:val="auto"/>
              </w:rPr>
            </w:pPr>
            <w:r>
              <w:rPr>
                <w:rFonts w:ascii="Arial" w:cs="Arial" w:eastAsia="Arial" w:hAnsi="Arial"/>
                <w:sz w:val="17"/>
                <w:szCs w:val="17"/>
                <w:color w:val="0000FF"/>
                <w:w w:val="91"/>
              </w:rPr>
              <w:t>Exchange Act of 1934, as Adopted Pursuant to Section 302</w:t>
            </w:r>
          </w:p>
        </w:tc>
        <w:tc>
          <w:tcPr>
            <w:tcW w:w="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gridSpan w:val="16"/>
          </w:tcPr>
          <w:p>
            <w:pPr>
              <w:spacing w:after="0" w:line="183" w:lineRule="exact"/>
              <w:rPr>
                <w:sz w:val="20"/>
                <w:szCs w:val="20"/>
                <w:color w:val="auto"/>
              </w:rPr>
            </w:pPr>
            <w:r>
              <w:rPr>
                <w:rFonts w:ascii="Arial" w:cs="Arial" w:eastAsia="Arial" w:hAnsi="Arial"/>
                <w:sz w:val="17"/>
                <w:szCs w:val="17"/>
                <w:color w:val="0000FF"/>
              </w:rPr>
              <w:t>of the Sarbanes-Oxley Act of 2002.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8"/>
                <w:szCs w:val="18"/>
                <w:color w:val="auto"/>
              </w:rPr>
            </w:pPr>
          </w:p>
        </w:tc>
        <w:tc>
          <w:tcPr>
            <w:tcW w:w="404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4"/>
              </w:rPr>
              <w:t>Certification of Principal Executive Officer Pursuant to 18</w:t>
            </w:r>
          </w:p>
        </w:tc>
        <w:tc>
          <w:tcPr>
            <w:tcW w:w="1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tcBorders>
              <w:bottom w:val="single" w:sz="8" w:color="0000FF"/>
            </w:tcBorders>
            <w:gridSpan w:val="16"/>
          </w:tcPr>
          <w:p>
            <w:pPr>
              <w:spacing w:after="0" w:line="183" w:lineRule="exact"/>
              <w:rPr>
                <w:sz w:val="20"/>
                <w:szCs w:val="20"/>
                <w:color w:val="auto"/>
              </w:rPr>
            </w:pPr>
            <w:r>
              <w:rPr>
                <w:rFonts w:ascii="Arial" w:cs="Arial" w:eastAsia="Arial" w:hAnsi="Arial"/>
                <w:sz w:val="17"/>
                <w:szCs w:val="17"/>
                <w:color w:val="0000FF"/>
                <w:w w:val="91"/>
              </w:rPr>
              <w:t>U.S.C. Section 1350, as Adopted Pursuant to Section 906 of</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gridSpan w:val="16"/>
          </w:tcPr>
          <w:p>
            <w:pPr>
              <w:spacing w:after="0" w:line="183" w:lineRule="exact"/>
              <w:rPr>
                <w:sz w:val="20"/>
                <w:szCs w:val="20"/>
                <w:color w:val="auto"/>
              </w:rPr>
            </w:pPr>
            <w:r>
              <w:rPr>
                <w:rFonts w:ascii="Arial" w:cs="Arial" w:eastAsia="Arial" w:hAnsi="Arial"/>
                <w:sz w:val="17"/>
                <w:szCs w:val="17"/>
                <w:color w:val="0000FF"/>
              </w:rPr>
              <w:t>the Sarbanes-Oxley Act of 2002.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4"/>
              </w:rPr>
              <w:t>Certification of Principal Financial Officer Pursuant to 18</w:t>
            </w:r>
          </w:p>
        </w:tc>
        <w:tc>
          <w:tcPr>
            <w:tcW w:w="16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tcBorders>
              <w:bottom w:val="single" w:sz="8" w:color="0000FF"/>
            </w:tcBorders>
            <w:gridSpan w:val="16"/>
          </w:tcPr>
          <w:p>
            <w:pPr>
              <w:spacing w:after="0" w:line="183" w:lineRule="exact"/>
              <w:rPr>
                <w:sz w:val="20"/>
                <w:szCs w:val="20"/>
                <w:color w:val="auto"/>
              </w:rPr>
            </w:pPr>
            <w:r>
              <w:rPr>
                <w:rFonts w:ascii="Arial" w:cs="Arial" w:eastAsia="Arial" w:hAnsi="Arial"/>
                <w:sz w:val="17"/>
                <w:szCs w:val="17"/>
                <w:color w:val="0000FF"/>
                <w:w w:val="91"/>
              </w:rPr>
              <w:t>U.S.C. Section 1350, as Adopted Pursuant to Section 906 of</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bottom w:val="single" w:sz="8" w:color="0000EE"/>
            </w:tcBorders>
            <w:gridSpan w:val="3"/>
          </w:tcPr>
          <w:p>
            <w:pPr>
              <w:spacing w:after="0" w:line="183" w:lineRule="exact"/>
              <w:rPr>
                <w:sz w:val="20"/>
                <w:szCs w:val="20"/>
                <w:color w:val="auto"/>
              </w:rPr>
            </w:pPr>
            <w:r>
              <w:rPr>
                <w:rFonts w:ascii="Arial" w:cs="Arial" w:eastAsia="Arial" w:hAnsi="Arial"/>
                <w:sz w:val="17"/>
                <w:szCs w:val="17"/>
                <w:color w:val="0000FF"/>
                <w:w w:val="91"/>
              </w:rPr>
              <w:t>the Sarbanes-Oxley Act of 2002.</w:t>
            </w:r>
          </w:p>
        </w:tc>
        <w:tc>
          <w:tcPr>
            <w:tcW w:w="1880" w:type="dxa"/>
            <w:vAlign w:val="bottom"/>
            <w:gridSpan w:val="13"/>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00" w:type="dxa"/>
            <w:vAlign w:val="bottom"/>
          </w:tcPr>
          <w:p>
            <w:pPr>
              <w:ind w:left="20"/>
              <w:spacing w:after="0"/>
              <w:rPr>
                <w:sz w:val="20"/>
                <w:szCs w:val="20"/>
                <w:color w:val="auto"/>
              </w:rPr>
            </w:pPr>
            <w:r>
              <w:rPr>
                <w:rFonts w:ascii="Arial" w:cs="Arial" w:eastAsia="Arial" w:hAnsi="Arial"/>
                <w:sz w:val="17"/>
                <w:szCs w:val="17"/>
                <w:color w:val="auto"/>
              </w:rPr>
              <w:t>101.INS</w:t>
            </w:r>
          </w:p>
        </w:tc>
        <w:tc>
          <w:tcPr>
            <w:tcW w:w="140" w:type="dxa"/>
            <w:vAlign w:val="bottom"/>
          </w:tcPr>
          <w:p>
            <w:pPr>
              <w:spacing w:after="0"/>
              <w:rPr>
                <w:sz w:val="19"/>
                <w:szCs w:val="19"/>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w w:val="96"/>
              </w:rPr>
              <w:t>Inline XBRL Instance Document – the instance document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w w:val="93"/>
              </w:rPr>
              <w:t>does not appear in the Interactive Data File because XBRL</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tags are embedded within the Inline XBRL document.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Arial" w:cs="Arial" w:eastAsia="Arial" w:hAnsi="Arial"/>
                <w:sz w:val="17"/>
                <w:szCs w:val="17"/>
                <w:color w:val="auto"/>
              </w:rPr>
              <w:t>101.SCH</w:t>
            </w:r>
          </w:p>
        </w:tc>
        <w:tc>
          <w:tcPr>
            <w:tcW w:w="140" w:type="dxa"/>
            <w:vAlign w:val="bottom"/>
          </w:tcPr>
          <w:p>
            <w:pPr>
              <w:spacing w:after="0"/>
              <w:rPr>
                <w:sz w:val="19"/>
                <w:szCs w:val="19"/>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Inline XBRL Taxonomy Extension Schema Document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7"/>
                <w:szCs w:val="17"/>
                <w:color w:val="auto"/>
              </w:rPr>
              <w:t>101.CAL</w:t>
            </w:r>
          </w:p>
        </w:tc>
        <w:tc>
          <w:tcPr>
            <w:tcW w:w="140" w:type="dxa"/>
            <w:vAlign w:val="bottom"/>
          </w:tcPr>
          <w:p>
            <w:pPr>
              <w:spacing w:after="0"/>
              <w:rPr>
                <w:sz w:val="19"/>
                <w:szCs w:val="19"/>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w w:val="99"/>
              </w:rPr>
              <w:t>Inline XBRL Taxonomy Extension Calculation Linkbase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Arial" w:cs="Arial" w:eastAsia="Arial" w:hAnsi="Arial"/>
                <w:sz w:val="17"/>
                <w:szCs w:val="17"/>
                <w:color w:val="auto"/>
              </w:rPr>
              <w:t>101.DEF</w:t>
            </w: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Inline XBRL Taxonomy Extension Definition Linkbase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Arial" w:cs="Arial" w:eastAsia="Arial" w:hAnsi="Arial"/>
                <w:sz w:val="17"/>
                <w:szCs w:val="17"/>
                <w:color w:val="auto"/>
              </w:rPr>
              <w:t>101.LAB</w:t>
            </w: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Inline XBRL Taxonomy Extension Label Linkbase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Arial" w:cs="Arial" w:eastAsia="Arial" w:hAnsi="Arial"/>
                <w:sz w:val="17"/>
                <w:szCs w:val="17"/>
                <w:color w:val="auto"/>
              </w:rPr>
              <w:t>101.PRE</w:t>
            </w: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w w:val="97"/>
              </w:rPr>
              <w:t>Inline XBRL Taxonomy Extension Presentation Linkbase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60" w:right="5860" w:hanging="1026"/>
        <w:spacing w:after="0" w:line="274" w:lineRule="auto"/>
        <w:tabs>
          <w:tab w:leader="none" w:pos="11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83" w:lineRule="exact"/>
        <w:rPr>
          <w:rFonts w:ascii="Arial" w:cs="Arial" w:eastAsia="Arial" w:hAnsi="Arial"/>
          <w:sz w:val="17"/>
          <w:szCs w:val="17"/>
          <w:color w:val="auto"/>
        </w:rPr>
      </w:pPr>
    </w:p>
    <w:p>
      <w:pPr>
        <w:ind w:right="120" w:firstLine="36"/>
        <w:spacing w:after="0" w:line="259" w:lineRule="auto"/>
        <w:rPr>
          <w:rFonts w:ascii="Arial" w:cs="Arial" w:eastAsia="Arial" w:hAnsi="Arial"/>
          <w:sz w:val="17"/>
          <w:szCs w:val="17"/>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64" w:right="439" w:bottom="1440" w:gutter="0" w:footer="0" w:header="0"/>
        </w:sectPr>
      </w:pPr>
    </w:p>
    <w:bookmarkStart w:id="27" w:name="page28"/>
    <w:bookmarkEnd w:id="2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PAYMENTUS HOLDINGS, INC.</w:t>
      </w:r>
    </w:p>
    <w:p>
      <w:pPr>
        <w:spacing w:after="0" w:line="283" w:lineRule="exact"/>
        <w:rPr>
          <w:sz w:val="20"/>
          <w:szCs w:val="20"/>
          <w:color w:val="auto"/>
        </w:rPr>
      </w:pPr>
    </w:p>
    <w:p>
      <w:pPr>
        <w:ind w:left="20"/>
        <w:spacing w:after="0"/>
        <w:tabs>
          <w:tab w:leader="none" w:pos="5640" w:val="left"/>
          <w:tab w:leader="none" w:pos="61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Dushyant Sharma</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Executive Officer)</w:t>
      </w:r>
    </w:p>
    <w:p>
      <w:pPr>
        <w:spacing w:after="0" w:line="283" w:lineRule="exact"/>
        <w:rPr>
          <w:sz w:val="20"/>
          <w:szCs w:val="20"/>
          <w:color w:val="auto"/>
        </w:rPr>
      </w:pPr>
    </w:p>
    <w:p>
      <w:pPr>
        <w:ind w:left="20"/>
        <w:spacing w:after="0"/>
        <w:tabs>
          <w:tab w:leader="none" w:pos="5640" w:val="left"/>
          <w:tab w:leader="none" w:pos="61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3549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Sanjay Kalra</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35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24" w:right="79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center"/>
        <w:ind w:left="340" w:right="2420"/>
        <w:spacing w:after="0" w:line="401" w:lineRule="auto"/>
        <w:rPr>
          <w:sz w:val="20"/>
          <w:szCs w:val="20"/>
          <w:color w:val="auto"/>
        </w:rPr>
      </w:pPr>
      <w:r>
        <w:rPr>
          <w:rFonts w:ascii="Arial" w:cs="Arial" w:eastAsia="Arial" w:hAnsi="Arial"/>
          <w:sz w:val="20"/>
          <w:szCs w:val="20"/>
          <w:b w:val="1"/>
          <w:bCs w:val="1"/>
          <w:color w:val="auto"/>
        </w:rPr>
        <w:t>CERTIFICATE OF AMENDMENT TO AMENDED AND RESTATED CERTIFICATE OF INCORPORATION OF PAYMENTUS HOLDINGS, INC.</w:t>
      </w:r>
    </w:p>
    <w:p>
      <w:pPr>
        <w:spacing w:after="0" w:line="34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Paymentus Holdings, Inc., a corporation organized and existing under the laws of the State of Delaware (the “</w:t>
      </w:r>
      <w:r>
        <w:rPr>
          <w:rFonts w:ascii="Arial" w:cs="Arial" w:eastAsia="Arial" w:hAnsi="Arial"/>
          <w:sz w:val="20"/>
          <w:szCs w:val="20"/>
          <w:b w:val="1"/>
          <w:bCs w:val="1"/>
          <w:color w:val="auto"/>
        </w:rPr>
        <w:t>Company</w:t>
      </w:r>
      <w:r>
        <w:rPr>
          <w:rFonts w:ascii="Arial" w:cs="Arial" w:eastAsia="Arial" w:hAnsi="Arial"/>
          <w:sz w:val="20"/>
          <w:szCs w:val="20"/>
          <w:color w:val="auto"/>
        </w:rPr>
        <w:t>”), does hereby certify as follows:</w:t>
      </w:r>
    </w:p>
    <w:p>
      <w:pPr>
        <w:spacing w:after="0" w:line="18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FIRST: This Certificate of Amendment to Amended and Restated Certificate of Incorporation was duly adopted by the Board of Directors and the stockholders of the Company in accordance with the provisions of Section 242 of the General Corporation Law of the State of Delaware as set forth in Title 8 of the Delaware Code.</w:t>
      </w:r>
    </w:p>
    <w:p>
      <w:pPr>
        <w:spacing w:after="0" w:line="19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SECOND: The text of Section 1 of Article X of the Amended and Restated Certificate of Incorporation of the Company is hereby amended to read in its entirety as follows:</w:t>
      </w:r>
    </w:p>
    <w:p>
      <w:pPr>
        <w:spacing w:after="0" w:line="17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Section 1.To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spacing w:after="0" w:line="208"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20"/>
          <w:szCs w:val="20"/>
          <w:color w:val="auto"/>
        </w:rPr>
        <w:t>IN WITNESS WHEREOF, the Company has caused this Certificate of Amendment to Amended and Restated Certificate of Incorporation to be executed this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June, 2023.</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/s/ Andrew A. Gerber</w:t>
      </w:r>
    </w:p>
    <w:p>
      <w:pPr>
        <w:spacing w:after="0" w:line="135"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Title: General Counsel and Secretary</w:t>
      </w:r>
    </w:p>
    <w:p>
      <w:pPr>
        <w:spacing w:after="0" w:line="148"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Name: Andrew A.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PAYMENTUS HOLDINGS,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spacing w:after="0" w:line="216"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POLICY OVERVIEW</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Paymentus Holdings, Inc. (together with any subsidiaries, collectively the “</w:t>
      </w:r>
      <w:r>
        <w:rPr>
          <w:rFonts w:ascii="Arial" w:cs="Arial" w:eastAsia="Arial" w:hAnsi="Arial"/>
          <w:sz w:val="20"/>
          <w:szCs w:val="20"/>
          <w:b w:val="1"/>
          <w:bCs w:val="1"/>
          <w:color w:val="auto"/>
        </w:rPr>
        <w:t>Company</w:t>
      </w:r>
      <w:r>
        <w:rPr>
          <w:rFonts w:ascii="Arial" w:cs="Arial" w:eastAsia="Arial" w:hAnsi="Arial"/>
          <w:sz w:val="20"/>
          <w:szCs w:val="20"/>
          <w:color w:val="auto"/>
        </w:rPr>
        <w:t>”) has adopted this Insider Trading Policy (the “</w:t>
      </w:r>
      <w:r>
        <w:rPr>
          <w:rFonts w:ascii="Arial" w:cs="Arial" w:eastAsia="Arial" w:hAnsi="Arial"/>
          <w:sz w:val="20"/>
          <w:szCs w:val="20"/>
          <w:b w:val="1"/>
          <w:bCs w:val="1"/>
          <w:color w:val="auto"/>
        </w:rPr>
        <w:t>Policy</w:t>
      </w:r>
      <w:r>
        <w:rPr>
          <w:rFonts w:ascii="Arial" w:cs="Arial" w:eastAsia="Arial" w:hAnsi="Arial"/>
          <w:sz w:val="20"/>
          <w:szCs w:val="20"/>
          <w:color w:val="auto"/>
        </w:rPr>
        <w:t>”) to help you comply with the federal and state securities laws and regulations that govern trading in securities and to help the Company minimize its own legal and reputational risk.</w:t>
      </w:r>
    </w:p>
    <w:p>
      <w:pPr>
        <w:spacing w:after="0" w:line="18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For purposes of this Policy, the Company’s General Counsel serves as the Compliance Officer. The Compliance Officer may designate others, from time to time, to assist with the execution of his or her duties under this Policy.</w:t>
      </w:r>
    </w:p>
    <w:p>
      <w:pPr>
        <w:spacing w:after="0" w:line="171"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POLICY STATEMENT</w:t>
      </w:r>
    </w:p>
    <w:p>
      <w:pPr>
        <w:spacing w:after="0" w:line="221" w:lineRule="exact"/>
        <w:rPr>
          <w:rFonts w:ascii="Arial" w:cs="Arial" w:eastAsia="Arial" w:hAnsi="Arial"/>
          <w:sz w:val="20"/>
          <w:szCs w:val="20"/>
          <w:b w:val="1"/>
          <w:bCs w:val="1"/>
          <w:color w:val="auto"/>
        </w:rPr>
      </w:pPr>
    </w:p>
    <w:p>
      <w:pPr>
        <w:ind w:firstLine="757"/>
        <w:spacing w:after="0" w:line="260" w:lineRule="auto"/>
        <w:tabs>
          <w:tab w:leader="none" w:pos="1018"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No Trading on Material Nonpublic Information</w:t>
      </w:r>
      <w:r>
        <w:rPr>
          <w:rFonts w:ascii="Arial" w:cs="Arial" w:eastAsia="Arial" w:hAnsi="Arial"/>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76" w:lineRule="exact"/>
        <w:rPr>
          <w:rFonts w:ascii="Arial" w:cs="Arial" w:eastAsia="Arial" w:hAnsi="Arial"/>
          <w:sz w:val="20"/>
          <w:szCs w:val="20"/>
          <w:color w:val="auto"/>
        </w:rPr>
      </w:pPr>
    </w:p>
    <w:p>
      <w:pPr>
        <w:ind w:left="1880" w:hanging="749"/>
        <w:spacing w:after="0"/>
        <w:tabs>
          <w:tab w:leader="none" w:pos="1880" w:val="left"/>
        </w:tabs>
        <w:numPr>
          <w:ilvl w:val="2"/>
          <w:numId w:val="18"/>
        </w:numPr>
        <w:rPr>
          <w:rFonts w:ascii="Arial" w:cs="Arial" w:eastAsia="Arial" w:hAnsi="Arial"/>
          <w:sz w:val="20"/>
          <w:szCs w:val="20"/>
          <w:color w:val="auto"/>
        </w:rPr>
      </w:pPr>
      <w:r>
        <w:rPr>
          <w:rFonts w:ascii="Arial" w:cs="Arial" w:eastAsia="Arial" w:hAnsi="Arial"/>
          <w:sz w:val="20"/>
          <w:szCs w:val="20"/>
          <w:color w:val="auto"/>
        </w:rPr>
        <w:t>using it to transact in securities of the Company;</w:t>
      </w:r>
    </w:p>
    <w:p>
      <w:pPr>
        <w:spacing w:after="0" w:line="215" w:lineRule="exact"/>
        <w:rPr>
          <w:rFonts w:ascii="Arial" w:cs="Arial" w:eastAsia="Arial" w:hAnsi="Arial"/>
          <w:sz w:val="20"/>
          <w:szCs w:val="20"/>
          <w:color w:val="auto"/>
        </w:rPr>
      </w:pPr>
    </w:p>
    <w:p>
      <w:pPr>
        <w:ind w:left="1880" w:hanging="749"/>
        <w:spacing w:after="0" w:line="260" w:lineRule="auto"/>
        <w:tabs>
          <w:tab w:leader="none" w:pos="1880" w:val="left"/>
        </w:tabs>
        <w:numPr>
          <w:ilvl w:val="2"/>
          <w:numId w:val="18"/>
        </w:numPr>
        <w:rPr>
          <w:rFonts w:ascii="Arial" w:cs="Arial" w:eastAsia="Arial" w:hAnsi="Arial"/>
          <w:sz w:val="20"/>
          <w:szCs w:val="20"/>
          <w:color w:val="auto"/>
        </w:rPr>
      </w:pPr>
      <w:r>
        <w:rPr>
          <w:rFonts w:ascii="Arial" w:cs="Arial" w:eastAsia="Arial" w:hAnsi="Arial"/>
          <w:sz w:val="20"/>
          <w:szCs w:val="20"/>
          <w:color w:val="auto"/>
        </w:rPr>
        <w:t>disclosing it to other directors, officers, employees, consultants, contractors or advisors whose roles do not require them to have the information;</w:t>
      </w:r>
    </w:p>
    <w:p>
      <w:pPr>
        <w:spacing w:after="0" w:line="176" w:lineRule="exact"/>
        <w:rPr>
          <w:rFonts w:ascii="Arial" w:cs="Arial" w:eastAsia="Arial" w:hAnsi="Arial"/>
          <w:sz w:val="20"/>
          <w:szCs w:val="20"/>
          <w:color w:val="auto"/>
        </w:rPr>
      </w:pPr>
    </w:p>
    <w:p>
      <w:pPr>
        <w:ind w:left="1880" w:hanging="749"/>
        <w:spacing w:after="0" w:line="260" w:lineRule="auto"/>
        <w:tabs>
          <w:tab w:leader="none" w:pos="1880" w:val="left"/>
        </w:tabs>
        <w:numPr>
          <w:ilvl w:val="2"/>
          <w:numId w:val="18"/>
        </w:numPr>
        <w:rPr>
          <w:rFonts w:ascii="Arial" w:cs="Arial" w:eastAsia="Arial" w:hAnsi="Arial"/>
          <w:sz w:val="20"/>
          <w:szCs w:val="20"/>
          <w:color w:val="auto"/>
        </w:rPr>
      </w:pPr>
      <w:r>
        <w:rPr>
          <w:rFonts w:ascii="Arial" w:cs="Arial" w:eastAsia="Arial" w:hAnsi="Arial"/>
          <w:sz w:val="20"/>
          <w:szCs w:val="20"/>
          <w:color w:val="auto"/>
        </w:rPr>
        <w:t>disclosing it to anyone outside of the Company, including family, friends, business associates, investors or consulting firms, without prior written authorization from the Compliance Officer; or</w:t>
      </w:r>
    </w:p>
    <w:p>
      <w:pPr>
        <w:spacing w:after="0" w:line="176" w:lineRule="exact"/>
        <w:rPr>
          <w:rFonts w:ascii="Arial" w:cs="Arial" w:eastAsia="Arial" w:hAnsi="Arial"/>
          <w:sz w:val="20"/>
          <w:szCs w:val="20"/>
          <w:color w:val="auto"/>
        </w:rPr>
      </w:pPr>
    </w:p>
    <w:p>
      <w:pPr>
        <w:ind w:left="1880" w:hanging="749"/>
        <w:spacing w:after="0"/>
        <w:tabs>
          <w:tab w:leader="none" w:pos="1880" w:val="left"/>
        </w:tabs>
        <w:numPr>
          <w:ilvl w:val="2"/>
          <w:numId w:val="18"/>
        </w:numPr>
        <w:rPr>
          <w:rFonts w:ascii="Arial" w:cs="Arial" w:eastAsia="Arial" w:hAnsi="Arial"/>
          <w:sz w:val="20"/>
          <w:szCs w:val="20"/>
          <w:color w:val="auto"/>
        </w:rPr>
      </w:pPr>
      <w:r>
        <w:rPr>
          <w:rFonts w:ascii="Arial" w:cs="Arial" w:eastAsia="Arial" w:hAnsi="Arial"/>
          <w:sz w:val="20"/>
          <w:szCs w:val="20"/>
          <w:color w:val="auto"/>
        </w:rPr>
        <w:t>using it to express an opinion or make a recommendation about trading in the Company’s securities.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spacing w:after="0" w:line="186" w:lineRule="exact"/>
        <w:rPr>
          <w:sz w:val="20"/>
          <w:szCs w:val="20"/>
          <w:color w:val="auto"/>
        </w:rPr>
      </w:pPr>
    </w:p>
    <w:p>
      <w:pPr>
        <w:jc w:val="both"/>
        <w:ind w:firstLine="757"/>
        <w:spacing w:after="0" w:line="246" w:lineRule="auto"/>
        <w:tabs>
          <w:tab w:leader="none" w:pos="1018"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No Disclosure of Confidential Information</w:t>
      </w:r>
      <w:r>
        <w:rPr>
          <w:rFonts w:ascii="Arial" w:cs="Arial" w:eastAsia="Arial" w:hAnsi="Arial"/>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others in accordance with any related non-disclosure agreements and other obligations that the Company has with them and limit your use of the confidential information to the purpose for which it was disclosed.</w:t>
      </w:r>
    </w:p>
    <w:p>
      <w:pPr>
        <w:spacing w:after="0" w:line="17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If you receive an inquiry for information from someone outside of the Company, such as a stock analyst, investor or the media, or a request for sensitive information outside the ordinary course of business from someone outside of the Company, such as a business partner, vendor, supplier or salesperson, then you should refer the inquiry to the Chief Financial Officer or Investor Relations, as applicable. Responding to a request yourself may violate this Policy and, in some circumstances, the law. Please consult the Company’s External Communications Policy for more details.</w:t>
      </w:r>
    </w:p>
    <w:p>
      <w:pPr>
        <w:spacing w:after="0" w:line="188" w:lineRule="exact"/>
        <w:rPr>
          <w:sz w:val="20"/>
          <w:szCs w:val="20"/>
          <w:color w:val="auto"/>
        </w:rPr>
      </w:pPr>
    </w:p>
    <w:p>
      <w:pPr>
        <w:jc w:val="both"/>
        <w:ind w:firstLine="757"/>
        <w:spacing w:after="0" w:line="246" w:lineRule="auto"/>
        <w:tabs>
          <w:tab w:leader="none" w:pos="1018"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Definition of Material Nonpublic Information</w:t>
      </w:r>
      <w:r>
        <w:rPr>
          <w:rFonts w:ascii="Arial" w:cs="Arial" w:eastAsia="Arial" w:hAnsi="Arial"/>
          <w:sz w:val="20"/>
          <w:szCs w:val="20"/>
          <w:color w:val="auto"/>
        </w:rPr>
        <w:t>. “</w:t>
      </w:r>
      <w:r>
        <w:rPr>
          <w:rFonts w:ascii="Arial" w:cs="Arial" w:eastAsia="Arial" w:hAnsi="Arial"/>
          <w:sz w:val="20"/>
          <w:szCs w:val="20"/>
          <w:b w:val="1"/>
          <w:bCs w:val="1"/>
          <w:color w:val="auto"/>
        </w:rPr>
        <w:t>Material information</w:t>
      </w:r>
      <w:r>
        <w:rPr>
          <w:rFonts w:ascii="Arial" w:cs="Arial" w:eastAsia="Arial" w:hAnsi="Arial"/>
          <w:sz w:val="20"/>
          <w:szCs w:val="20"/>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9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It is not possible to define all categories of “material” information. However, some examples of information that could be regarded as material include, but are not limited to:</w:t>
      </w:r>
    </w:p>
    <w:p>
      <w:pPr>
        <w:spacing w:after="0" w:line="177" w:lineRule="exact"/>
        <w:rPr>
          <w:sz w:val="20"/>
          <w:szCs w:val="20"/>
          <w:color w:val="auto"/>
        </w:rPr>
      </w:pPr>
    </w:p>
    <w:p>
      <w:pPr>
        <w:ind w:left="1880" w:hanging="749"/>
        <w:spacing w:after="0" w:line="316" w:lineRule="auto"/>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results, key metrics, financial condition, earnings pre-announcements, guidance, projections or forecasts, particularly if inconsistent with the Company’s guidance or the expectations of the investment community;</w:t>
      </w:r>
    </w:p>
    <w:p>
      <w:pPr>
        <w:spacing w:after="0" w:line="129" w:lineRule="exact"/>
        <w:rPr>
          <w:rFonts w:ascii="Arial" w:cs="Arial" w:eastAsia="Arial" w:hAnsi="Arial"/>
          <w:sz w:val="18"/>
          <w:szCs w:val="18"/>
          <w:color w:val="auto"/>
        </w:rPr>
      </w:pPr>
    </w:p>
    <w:p>
      <w:pPr>
        <w:ind w:left="1880" w:hanging="749"/>
        <w:spacing w:after="0"/>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restatements of financial results, or material impairments, write-offs or restructurings;</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independent auditors, or notification that the Company may no longer rely on an audit report;</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business plans or budgets;</w:t>
      </w:r>
    </w:p>
    <w:p>
      <w:pPr>
        <w:spacing w:after="0" w:line="215" w:lineRule="exact"/>
        <w:rPr>
          <w:rFonts w:ascii="Arial" w:cs="Arial" w:eastAsia="Arial" w:hAnsi="Arial"/>
          <w:sz w:val="20"/>
          <w:szCs w:val="20"/>
          <w:color w:val="auto"/>
        </w:rPr>
      </w:pPr>
    </w:p>
    <w:p>
      <w:pPr>
        <w:ind w:left="1880" w:hanging="749"/>
        <w:spacing w:after="0" w:line="260" w:lineRule="auto"/>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creation of significant financial obligations, or any significant default under or acceleration of any financial obligation;</w:t>
      </w:r>
    </w:p>
    <w:p>
      <w:pPr>
        <w:spacing w:after="0" w:line="176" w:lineRule="exact"/>
        <w:rPr>
          <w:rFonts w:ascii="Arial" w:cs="Arial" w:eastAsia="Arial" w:hAnsi="Arial"/>
          <w:sz w:val="20"/>
          <w:szCs w:val="20"/>
          <w:color w:val="auto"/>
        </w:rPr>
      </w:pPr>
    </w:p>
    <w:p>
      <w:pPr>
        <w:ind w:left="1880" w:hanging="749"/>
        <w:spacing w:after="0"/>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impending bankruptcy or financial liquidity problems;</w:t>
      </w:r>
    </w:p>
    <w:p>
      <w:pPr>
        <w:spacing w:after="0" w:line="215" w:lineRule="exact"/>
        <w:rPr>
          <w:rFonts w:ascii="Arial" w:cs="Arial" w:eastAsia="Arial" w:hAnsi="Arial"/>
          <w:sz w:val="20"/>
          <w:szCs w:val="20"/>
          <w:color w:val="auto"/>
        </w:rPr>
      </w:pPr>
    </w:p>
    <w:p>
      <w:pPr>
        <w:ind w:left="1880" w:hanging="749"/>
        <w:spacing w:after="0" w:line="316" w:lineRule="auto"/>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29" w:lineRule="exact"/>
        <w:rPr>
          <w:rFonts w:ascii="Arial" w:cs="Arial" w:eastAsia="Arial" w:hAnsi="Arial"/>
          <w:sz w:val="18"/>
          <w:szCs w:val="18"/>
          <w:color w:val="auto"/>
        </w:rPr>
      </w:pPr>
    </w:p>
    <w:p>
      <w:pPr>
        <w:jc w:val="both"/>
        <w:ind w:left="1880" w:hanging="749"/>
        <w:spacing w:after="0" w:line="266" w:lineRule="auto"/>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66" w:lineRule="exact"/>
        <w:rPr>
          <w:rFonts w:ascii="Arial" w:cs="Arial" w:eastAsia="Arial" w:hAnsi="Arial"/>
          <w:sz w:val="20"/>
          <w:szCs w:val="20"/>
          <w:color w:val="auto"/>
        </w:rPr>
      </w:pPr>
    </w:p>
    <w:p>
      <w:pPr>
        <w:ind w:left="1880" w:hanging="749"/>
        <w:spacing w:after="0"/>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developments in research and development or relating to intellectual property;</w:t>
      </w:r>
    </w:p>
    <w:p>
      <w:pPr>
        <w:spacing w:after="0" w:line="215" w:lineRule="exact"/>
        <w:rPr>
          <w:rFonts w:ascii="Arial" w:cs="Arial" w:eastAsia="Arial" w:hAnsi="Arial"/>
          <w:sz w:val="20"/>
          <w:szCs w:val="20"/>
          <w:color w:val="auto"/>
        </w:rPr>
      </w:pPr>
    </w:p>
    <w:p>
      <w:pPr>
        <w:ind w:left="1880" w:hanging="749"/>
        <w:spacing w:after="0" w:line="260" w:lineRule="auto"/>
        <w:tabs>
          <w:tab w:leader="none" w:pos="1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legal or regulatory developments, whether positive or negative, actual or threatened, including litigation or resolving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jc w:val="both"/>
        <w:ind w:left="1880" w:hanging="749"/>
        <w:spacing w:after="0" w:line="250" w:lineRule="auto"/>
        <w:tabs>
          <w:tab w:leader="none" w:pos="1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85" w:lineRule="exact"/>
        <w:rPr>
          <w:rFonts w:ascii="Arial" w:cs="Arial" w:eastAsia="Arial" w:hAnsi="Arial"/>
          <w:sz w:val="20"/>
          <w:szCs w:val="20"/>
          <w:color w:val="auto"/>
        </w:rPr>
      </w:pPr>
    </w:p>
    <w:p>
      <w:pPr>
        <w:ind w:left="1880" w:hanging="749"/>
        <w:spacing w:after="0" w:line="316" w:lineRule="auto"/>
        <w:tabs>
          <w:tab w:leader="none" w:pos="1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29" w:lineRule="exact"/>
        <w:rPr>
          <w:rFonts w:ascii="Arial" w:cs="Arial" w:eastAsia="Arial" w:hAnsi="Arial"/>
          <w:sz w:val="18"/>
          <w:szCs w:val="18"/>
          <w:color w:val="auto"/>
        </w:rPr>
      </w:pPr>
    </w:p>
    <w:p>
      <w:pPr>
        <w:ind w:left="1880" w:hanging="749"/>
        <w:spacing w:after="0"/>
        <w:tabs>
          <w:tab w:leader="none" w:pos="1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major personnel changes, such as changes in senior management or employee layoffs;</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data breaches or other cybersecurity events;</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updates regarding any prior material disclosure that has materially changed; and</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existence of a special blackout period.</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nonpublic information</w:t>
      </w:r>
      <w:r>
        <w:rPr>
          <w:rFonts w:ascii="Arial" w:cs="Arial" w:eastAsia="Arial" w:hAnsi="Arial"/>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8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As a rule of thumb, if you think something might be material nonpublic information, it probably is. You can always reach out to the Compliance Officer if you have questions.</w:t>
      </w:r>
    </w:p>
    <w:p>
      <w:pPr>
        <w:spacing w:after="0" w:line="171"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PERSONS COVERED BY THIS POLICY</w:t>
      </w:r>
    </w:p>
    <w:p>
      <w:pPr>
        <w:spacing w:after="0" w:line="22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provided, however, that the Policy shall not apply to any such entity that engages in the investment of securities in the ordinary course of its business (</w:t>
      </w:r>
      <w:r>
        <w:rPr>
          <w:rFonts w:ascii="Arial" w:cs="Arial" w:eastAsia="Arial" w:hAnsi="Arial"/>
          <w:sz w:val="20"/>
          <w:szCs w:val="20"/>
          <w:i w:val="1"/>
          <w:iCs w:val="1"/>
          <w:color w:val="auto"/>
        </w:rPr>
        <w:t>e.g.</w:t>
      </w:r>
      <w:r>
        <w:rPr>
          <w:rFonts w:ascii="Arial" w:cs="Arial" w:eastAsia="Arial" w:hAnsi="Arial"/>
          <w:sz w:val="20"/>
          <w:szCs w:val="20"/>
          <w:color w:val="auto"/>
        </w:rPr>
        <w:t>,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19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85"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TRADING COVERED BY THIS POLICY</w:t>
      </w:r>
    </w:p>
    <w:p>
      <w:pPr>
        <w:spacing w:after="0" w:line="222"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this Policy applies to all transactions involving the Company’s securities or other companies’ securities for which you possess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material nonpublic information obtained in connection with your service with the Company. This Policy therefore applies to:</w:t>
      </w:r>
    </w:p>
    <w:p>
      <w:pPr>
        <w:spacing w:after="0" w:line="216" w:lineRule="exact"/>
        <w:rPr>
          <w:sz w:val="20"/>
          <w:szCs w:val="20"/>
          <w:color w:val="auto"/>
        </w:rPr>
      </w:pPr>
    </w:p>
    <w:p>
      <w:pPr>
        <w:jc w:val="both"/>
        <w:ind w:left="1140" w:hanging="383"/>
        <w:spacing w:after="0" w:line="246" w:lineRule="auto"/>
        <w:tabs>
          <w:tab w:leader="none" w:pos="11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91" w:lineRule="exact"/>
        <w:rPr>
          <w:rFonts w:ascii="Arial" w:cs="Arial" w:eastAsia="Arial" w:hAnsi="Arial"/>
          <w:sz w:val="20"/>
          <w:szCs w:val="20"/>
          <w:color w:val="auto"/>
        </w:rPr>
      </w:pPr>
    </w:p>
    <w:p>
      <w:pPr>
        <w:ind w:left="1140" w:hanging="383"/>
        <w:spacing w:after="0"/>
        <w:tabs>
          <w:tab w:leader="none" w:pos="11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disposition in the form of a gift of any securities of the Company;</w:t>
      </w:r>
    </w:p>
    <w:p>
      <w:pPr>
        <w:spacing w:after="0" w:line="215" w:lineRule="exact"/>
        <w:rPr>
          <w:rFonts w:ascii="Arial" w:cs="Arial" w:eastAsia="Arial" w:hAnsi="Arial"/>
          <w:sz w:val="20"/>
          <w:szCs w:val="20"/>
          <w:color w:val="auto"/>
        </w:rPr>
      </w:pPr>
    </w:p>
    <w:p>
      <w:pPr>
        <w:ind w:left="1140" w:hanging="383"/>
        <w:spacing w:after="0"/>
        <w:tabs>
          <w:tab w:leader="none" w:pos="11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distribution to holders of interests in an entity if the entity is subject to this Policy; and</w:t>
      </w:r>
    </w:p>
    <w:p>
      <w:pPr>
        <w:spacing w:after="0" w:line="215" w:lineRule="exact"/>
        <w:rPr>
          <w:rFonts w:ascii="Arial" w:cs="Arial" w:eastAsia="Arial" w:hAnsi="Arial"/>
          <w:sz w:val="20"/>
          <w:szCs w:val="20"/>
          <w:color w:val="auto"/>
        </w:rPr>
      </w:pPr>
    </w:p>
    <w:p>
      <w:pPr>
        <w:jc w:val="both"/>
        <w:ind w:left="1140" w:hanging="383"/>
        <w:spacing w:after="0" w:line="234" w:lineRule="exact"/>
        <w:tabs>
          <w:tab w:leader="none" w:pos="11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Arial" w:cs="Arial" w:eastAsia="Arial" w:hAnsi="Arial"/>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exceptions from insider trading laws or this Policy based on the size of the transaction or the type of consideration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received.</w:t>
      </w:r>
    </w:p>
    <w:p>
      <w:pPr>
        <w:spacing w:after="0" w:line="194"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TRADING RESTRICTIONS</w:t>
      </w:r>
    </w:p>
    <w:p>
      <w:pPr>
        <w:spacing w:after="0" w:line="221"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19"/>
          <w:szCs w:val="19"/>
          <w:color w:val="auto"/>
        </w:rPr>
        <w:t>Subject to the exceptions set forth below, this Policy restricts trading during certain periods and by certain people as follows:</w:t>
      </w:r>
    </w:p>
    <w:p>
      <w:pPr>
        <w:spacing w:after="0" w:line="227" w:lineRule="exact"/>
        <w:rPr>
          <w:rFonts w:ascii="Arial" w:cs="Arial" w:eastAsia="Arial" w:hAnsi="Arial"/>
          <w:sz w:val="20"/>
          <w:szCs w:val="20"/>
          <w:b w:val="1"/>
          <w:bCs w:val="1"/>
          <w:color w:val="auto"/>
        </w:rPr>
      </w:pPr>
    </w:p>
    <w:p>
      <w:pPr>
        <w:jc w:val="both"/>
        <w:ind w:firstLine="757"/>
        <w:spacing w:after="0" w:line="242" w:lineRule="auto"/>
        <w:tabs>
          <w:tab w:leader="none" w:pos="1018"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Quarterly Blackout Periods</w:t>
      </w:r>
      <w:r>
        <w:rPr>
          <w:rFonts w:ascii="Arial" w:cs="Arial" w:eastAsia="Arial" w:hAnsi="Arial"/>
          <w:sz w:val="20"/>
          <w:szCs w:val="20"/>
          <w:color w:val="auto"/>
        </w:rPr>
        <w:t>. 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all directors, officers and employees of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Arial" w:cs="Arial" w:eastAsia="Arial" w:hAnsi="Arial"/>
          <w:sz w:val="20"/>
          <w:szCs w:val="20"/>
          <w:b w:val="1"/>
          <w:bCs w:val="1"/>
          <w:color w:val="auto"/>
        </w:rPr>
        <w:t>Covered Persons List</w:t>
      </w:r>
      <w:r>
        <w:rPr>
          <w:rFonts w:ascii="Arial" w:cs="Arial" w:eastAsia="Arial" w:hAnsi="Arial"/>
          <w:sz w:val="20"/>
          <w:szCs w:val="20"/>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9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Quarterly blackout periods will start at the end of the fifteenth day of the third month of each fiscal quarter (</w:t>
      </w:r>
      <w:r>
        <w:rPr>
          <w:rFonts w:ascii="Arial" w:cs="Arial" w:eastAsia="Arial" w:hAnsi="Arial"/>
          <w:sz w:val="18"/>
          <w:szCs w:val="18"/>
          <w:i w:val="1"/>
          <w:iCs w:val="1"/>
          <w:color w:val="auto"/>
        </w:rPr>
        <w:t>i.e.</w:t>
      </w:r>
      <w:r>
        <w:rPr>
          <w:rFonts w:ascii="Arial" w:cs="Arial" w:eastAsia="Arial" w:hAnsi="Arial"/>
          <w:sz w:val="18"/>
          <w:szCs w:val="18"/>
          <w:color w:val="auto"/>
        </w:rPr>
        <w:t>, March 15, June 15, September 15 and December 15) and will end at the start of the second full trading day following the Company’s earnings release.</w:t>
      </w:r>
    </w:p>
    <w:p>
      <w:pPr>
        <w:spacing w:after="0" w:line="13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ind w:firstLine="749"/>
        <w:spacing w:after="0" w:line="260" w:lineRule="auto"/>
        <w:rPr>
          <w:sz w:val="20"/>
          <w:szCs w:val="20"/>
          <w:color w:val="auto"/>
        </w:rPr>
      </w:pPr>
      <w:r>
        <w:rPr>
          <w:rFonts w:ascii="Arial" w:cs="Arial" w:eastAsia="Arial" w:hAnsi="Arial"/>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177" w:lineRule="exact"/>
        <w:rPr>
          <w:sz w:val="20"/>
          <w:szCs w:val="20"/>
          <w:color w:val="auto"/>
        </w:rPr>
      </w:pPr>
    </w:p>
    <w:p>
      <w:pPr>
        <w:jc w:val="both"/>
        <w:ind w:firstLine="757"/>
        <w:spacing w:after="0" w:line="274" w:lineRule="auto"/>
        <w:tabs>
          <w:tab w:leader="none" w:pos="1018"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Special Blackout Periods</w:t>
      </w:r>
      <w:r>
        <w:rPr>
          <w:rFonts w:ascii="Arial" w:cs="Arial" w:eastAsia="Arial" w:hAnsi="Arial"/>
          <w:sz w:val="18"/>
          <w:szCs w:val="18"/>
          <w:color w:val="auto"/>
        </w:rPr>
        <w:t>. The Company always retains the right to impose additional or longer trading blackout periods at any time on any or all of its directors, officers, employees, consultants, contractors and advisors. The Compliance Officer will notify you in writing (or by e-mail) if you are subject to a special blackout period.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68" w:lineRule="exact"/>
        <w:rPr>
          <w:rFonts w:ascii="Arial" w:cs="Arial" w:eastAsia="Arial" w:hAnsi="Arial"/>
          <w:sz w:val="18"/>
          <w:szCs w:val="18"/>
          <w:color w:val="auto"/>
        </w:rPr>
      </w:pPr>
    </w:p>
    <w:p>
      <w:pPr>
        <w:jc w:val="both"/>
        <w:ind w:firstLine="757"/>
        <w:spacing w:after="0" w:line="273" w:lineRule="auto"/>
        <w:tabs>
          <w:tab w:leader="none" w:pos="1018"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Regulation BTR Blackouts</w:t>
      </w:r>
      <w:r>
        <w:rPr>
          <w:rFonts w:ascii="Arial" w:cs="Arial" w:eastAsia="Arial" w:hAnsi="Arial"/>
          <w:sz w:val="18"/>
          <w:szCs w:val="18"/>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2" w:lineRule="exact"/>
        <w:rPr>
          <w:rFonts w:ascii="Arial" w:cs="Arial" w:eastAsia="Arial" w:hAnsi="Arial"/>
          <w:sz w:val="18"/>
          <w:szCs w:val="18"/>
          <w:color w:val="auto"/>
        </w:rPr>
      </w:pPr>
    </w:p>
    <w:p>
      <w:pPr>
        <w:ind w:left="760" w:hanging="752"/>
        <w:spacing w:after="0"/>
        <w:tabs>
          <w:tab w:leader="none" w:pos="7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PROHIBITED TRANSACTIONS</w:t>
      </w:r>
    </w:p>
    <w:p>
      <w:pPr>
        <w:spacing w:after="0" w:line="222"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You may not engage in any of the following types of transactions other than as noted below, regardless of whether you have material nonpublic information or not.</w:t>
      </w:r>
    </w:p>
    <w:p>
      <w:pPr>
        <w:spacing w:after="0" w:line="177" w:lineRule="exact"/>
        <w:rPr>
          <w:sz w:val="20"/>
          <w:szCs w:val="20"/>
          <w:color w:val="auto"/>
        </w:rPr>
      </w:pPr>
    </w:p>
    <w:p>
      <w:pPr>
        <w:ind w:firstLine="757"/>
        <w:spacing w:after="0" w:line="316" w:lineRule="auto"/>
        <w:tabs>
          <w:tab w:leader="none" w:pos="101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Short Sales</w:t>
      </w:r>
      <w:r>
        <w:rPr>
          <w:rFonts w:ascii="Arial" w:cs="Arial" w:eastAsia="Arial" w:hAnsi="Arial"/>
          <w:sz w:val="18"/>
          <w:szCs w:val="18"/>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29" w:lineRule="exact"/>
        <w:rPr>
          <w:rFonts w:ascii="Arial" w:cs="Arial" w:eastAsia="Arial" w:hAnsi="Arial"/>
          <w:sz w:val="18"/>
          <w:szCs w:val="18"/>
          <w:color w:val="auto"/>
        </w:rPr>
      </w:pPr>
    </w:p>
    <w:p>
      <w:pPr>
        <w:jc w:val="both"/>
        <w:ind w:firstLine="757"/>
        <w:spacing w:after="0" w:line="276" w:lineRule="auto"/>
        <w:tabs>
          <w:tab w:leader="none" w:pos="101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Derivative Securities and Hedging Transactions</w:t>
      </w:r>
      <w:r>
        <w:rPr>
          <w:rFonts w:ascii="Arial" w:cs="Arial" w:eastAsia="Arial" w:hAnsi="Arial"/>
          <w:sz w:val="18"/>
          <w:szCs w:val="18"/>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64" w:lineRule="exact"/>
        <w:rPr>
          <w:rFonts w:ascii="Arial" w:cs="Arial" w:eastAsia="Arial" w:hAnsi="Arial"/>
          <w:sz w:val="18"/>
          <w:szCs w:val="18"/>
          <w:color w:val="auto"/>
        </w:rPr>
      </w:pPr>
    </w:p>
    <w:p>
      <w:pPr>
        <w:ind w:firstLine="757"/>
        <w:spacing w:after="0" w:line="316" w:lineRule="auto"/>
        <w:tabs>
          <w:tab w:leader="none" w:pos="101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Pledging Transactions</w:t>
      </w:r>
      <w:r>
        <w:rPr>
          <w:rFonts w:ascii="Arial" w:cs="Arial" w:eastAsia="Arial" w:hAnsi="Arial"/>
          <w:sz w:val="18"/>
          <w:szCs w:val="18"/>
          <w:color w:val="auto"/>
        </w:rPr>
        <w:t>. If you are required to comply with the blackout periods or pre-clearance requirements under this Policy, you may not pledge the Company’s securities as collateral for any loan or as part of any other pledging transaction.</w:t>
      </w:r>
    </w:p>
    <w:p>
      <w:pPr>
        <w:spacing w:after="0" w:line="129" w:lineRule="exact"/>
        <w:rPr>
          <w:rFonts w:ascii="Arial" w:cs="Arial" w:eastAsia="Arial" w:hAnsi="Arial"/>
          <w:sz w:val="18"/>
          <w:szCs w:val="18"/>
          <w:color w:val="auto"/>
        </w:rPr>
      </w:pPr>
    </w:p>
    <w:p>
      <w:pPr>
        <w:ind w:left="1020" w:hanging="26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Margin Accounts</w:t>
      </w:r>
      <w:r>
        <w:rPr>
          <w:rFonts w:ascii="Arial" w:cs="Arial" w:eastAsia="Arial" w:hAnsi="Arial"/>
          <w:sz w:val="18"/>
          <w:szCs w:val="18"/>
          <w:color w:val="auto"/>
        </w:rPr>
        <w:t>. You may not hold the Company’s common stock in margin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ind w:left="760" w:hanging="752"/>
        <w:spacing w:after="0"/>
        <w:tabs>
          <w:tab w:leader="none" w:pos="7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PRE-CLEARANCE OF TRADES</w:t>
      </w:r>
    </w:p>
    <w:p>
      <w:pPr>
        <w:spacing w:after="0" w:line="22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The Company’s directors, executive officers and certain employees identified on the Covered Persons List must obtain pre-clearance prior to trading the Company’s securities. If you are subject to pre-clearance requirements, you must submit a pre-clearance 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9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If the Compliance Officer is the requester, then the Company’s Chief Executive Officer, Chief Financial Officer or their delegate must pre-clear or deny any trade. All trades must be executed within two business days of any pre-clearance.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Even after pre-clearance, a person may not trade the Company’s securities if they become subject to a blackout period or aware of material nonpublic information prior to the trade being executed.</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71" w:lineRule="exact"/>
        <w:rPr>
          <w:sz w:val="20"/>
          <w:szCs w:val="20"/>
          <w:color w:val="auto"/>
        </w:rPr>
      </w:pPr>
    </w:p>
    <w:p>
      <w:pPr>
        <w:ind w:left="760" w:hanging="752"/>
        <w:spacing w:after="0"/>
        <w:tabs>
          <w:tab w:leader="none" w:pos="7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EXCEPTIONS TO TRADING RESTRICTIONS</w:t>
      </w:r>
    </w:p>
    <w:p>
      <w:pPr>
        <w:spacing w:after="0" w:line="22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following are certain limited exceptions to the quarterly and special blackout period restrictions and pre-clearance requirements imposed by the Company under this Policy:</w:t>
      </w:r>
    </w:p>
    <w:p>
      <w:pPr>
        <w:spacing w:after="0" w:line="177" w:lineRule="exact"/>
        <w:rPr>
          <w:sz w:val="20"/>
          <w:szCs w:val="20"/>
          <w:color w:val="auto"/>
        </w:rPr>
      </w:pPr>
    </w:p>
    <w:p>
      <w:pPr>
        <w:jc w:val="both"/>
        <w:ind w:left="1140" w:hanging="383"/>
        <w:spacing w:after="0" w:line="236" w:lineRule="exact"/>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Transactions made pursuant to a valid 10b5</w:t>
      </w:r>
      <w:r>
        <w:rPr>
          <w:rFonts w:ascii="MS PGothic" w:cs="MS PGothic" w:eastAsia="MS PGothic" w:hAnsi="MS PGothic"/>
          <w:sz w:val="20"/>
          <w:szCs w:val="20"/>
          <w:color w:val="auto"/>
        </w:rPr>
        <w:t>‑</w:t>
      </w:r>
      <w:r>
        <w:rPr>
          <w:rFonts w:ascii="Arial" w:cs="Arial" w:eastAsia="Arial" w:hAnsi="Arial"/>
          <w:sz w:val="20"/>
          <w:szCs w:val="20"/>
          <w:color w:val="auto"/>
        </w:rPr>
        <w:t>1 trading plan approved by the Company. These plans allow for individuals to enter into a prearranged trading plan as long as the plan is not established or modified during a blackout period or when the individual is otherwise in possession of material nonpublic information.</w:t>
      </w:r>
    </w:p>
    <w:p>
      <w:pPr>
        <w:spacing w:after="0" w:line="197"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Stock option exercises where the exercise price of such stock options is paid in cash and there is no other associated market activity.</w:t>
      </w:r>
    </w:p>
    <w:p>
      <w:pPr>
        <w:spacing w:after="0" w:line="176"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Receipt and vesting of stock options, restricted stock units, restricted stock or other equity compensation awards from the Company.</w:t>
      </w:r>
    </w:p>
    <w:p>
      <w:pPr>
        <w:spacing w:after="0" w:line="176"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Purchases pursuant to the employee stock purchase plan; however, this exception does not apply to subsequent sales of the shares.</w:t>
      </w:r>
    </w:p>
    <w:p>
      <w:pPr>
        <w:spacing w:after="0" w:line="176" w:lineRule="exact"/>
        <w:rPr>
          <w:rFonts w:ascii="Arial" w:cs="Arial" w:eastAsia="Arial" w:hAnsi="Arial"/>
          <w:sz w:val="20"/>
          <w:szCs w:val="20"/>
          <w:color w:val="auto"/>
        </w:rPr>
      </w:pPr>
    </w:p>
    <w:p>
      <w:pPr>
        <w:jc w:val="both"/>
        <w:ind w:left="1140" w:hanging="383"/>
        <w:spacing w:after="0" w:line="246" w:lineRule="auto"/>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1140"/>
        <w:spacing w:after="0"/>
        <w:rPr>
          <w:sz w:val="20"/>
          <w:szCs w:val="20"/>
          <w:color w:val="auto"/>
        </w:rPr>
      </w:pPr>
      <w:r>
        <w:rPr>
          <w:rFonts w:ascii="Arial" w:cs="Arial" w:eastAsia="Arial" w:hAnsi="Arial"/>
          <w:sz w:val="18"/>
          <w:szCs w:val="18"/>
          <w:color w:val="auto"/>
        </w:rPr>
        <w:t>in writing at a time when a trading blackout is not in place and you are not in possession of material nonpublic information.</w:t>
      </w:r>
    </w:p>
    <w:p>
      <w:pPr>
        <w:spacing w:after="0" w:line="239" w:lineRule="exact"/>
        <w:rPr>
          <w:sz w:val="20"/>
          <w:szCs w:val="20"/>
          <w:color w:val="auto"/>
        </w:rPr>
      </w:pPr>
    </w:p>
    <w:p>
      <w:pPr>
        <w:jc w:val="both"/>
        <w:ind w:left="1140" w:hanging="383"/>
        <w:spacing w:after="0" w:line="244" w:lineRule="auto"/>
        <w:tabs>
          <w:tab w:leader="none" w:pos="11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Sell-to-cover transactions where shares are sold on your behalf upon vesting of equity awards to satisfy tax withholding requirements. Persons included on the Covered Persons List will be deemed to have elected sell-to-cover transactions upon vesting of equity awards unless they make a prior irrevocable election otherwise for that calendar year, so long as such election is made in writing at a time when a trading blackout is not in place and you are not in possession of material nonpublic information.</w:t>
      </w:r>
    </w:p>
    <w:p>
      <w:pPr>
        <w:spacing w:after="0" w:line="194" w:lineRule="exact"/>
        <w:rPr>
          <w:rFonts w:ascii="Arial" w:cs="Arial" w:eastAsia="Arial" w:hAnsi="Arial"/>
          <w:sz w:val="20"/>
          <w:szCs w:val="20"/>
          <w:color w:val="auto"/>
        </w:rPr>
      </w:pPr>
    </w:p>
    <w:p>
      <w:pPr>
        <w:ind w:left="1140" w:hanging="383"/>
        <w:spacing w:after="0"/>
        <w:tabs>
          <w:tab w:leader="none" w:pos="11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Distributions to limited partners by limited partnerships subject to this Policy.</w:t>
      </w:r>
    </w:p>
    <w:p>
      <w:pPr>
        <w:spacing w:after="0" w:line="215" w:lineRule="exact"/>
        <w:rPr>
          <w:rFonts w:ascii="Arial" w:cs="Arial" w:eastAsia="Arial" w:hAnsi="Arial"/>
          <w:sz w:val="20"/>
          <w:szCs w:val="20"/>
          <w:color w:val="auto"/>
        </w:rPr>
      </w:pPr>
    </w:p>
    <w:p>
      <w:pPr>
        <w:jc w:val="both"/>
        <w:ind w:left="1140" w:hanging="383"/>
        <w:spacing w:after="0" w:line="257" w:lineRule="auto"/>
        <w:tabs>
          <w:tab w:leader="none" w:pos="11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Purchases of the Company’s stock in the 401(k) plan resulting from periodic contributions to the plan based on your payroll contribution election; provided, however,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80" w:lineRule="exact"/>
        <w:rPr>
          <w:rFonts w:ascii="Arial" w:cs="Arial" w:eastAsia="Arial" w:hAnsi="Arial"/>
          <w:sz w:val="19"/>
          <w:szCs w:val="19"/>
          <w:color w:val="auto"/>
        </w:rPr>
      </w:pPr>
    </w:p>
    <w:p>
      <w:pPr>
        <w:jc w:val="both"/>
        <w:ind w:left="1140" w:hanging="383"/>
        <w:spacing w:after="0" w:line="269" w:lineRule="auto"/>
        <w:tabs>
          <w:tab w:leader="none" w:pos="11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Transfers by will or the laws of descent and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spacing w:after="0" w:line="169" w:lineRule="exact"/>
        <w:rPr>
          <w:rFonts w:ascii="Arial" w:cs="Arial" w:eastAsia="Arial" w:hAnsi="Arial"/>
          <w:sz w:val="19"/>
          <w:szCs w:val="19"/>
          <w:color w:val="auto"/>
        </w:rPr>
      </w:pPr>
    </w:p>
    <w:p>
      <w:pPr>
        <w:ind w:firstLine="757"/>
        <w:spacing w:after="0" w:line="316" w:lineRule="auto"/>
        <w:tabs>
          <w:tab w:leader="none" w:pos="10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number of the Company’s securities you hold due to a stock split or a stock dividend that applies equally to all securities of a class, or similar transactions.</w:t>
      </w:r>
    </w:p>
    <w:p>
      <w:pPr>
        <w:spacing w:after="0" w:line="130" w:lineRule="exact"/>
        <w:rPr>
          <w:sz w:val="20"/>
          <w:szCs w:val="20"/>
          <w:color w:val="auto"/>
        </w:rPr>
      </w:pPr>
    </w:p>
    <w:p>
      <w:pPr>
        <w:jc w:val="both"/>
        <w:ind w:firstLine="749"/>
        <w:spacing w:after="0" w:line="232" w:lineRule="exact"/>
        <w:rPr>
          <w:sz w:val="20"/>
          <w:szCs w:val="20"/>
          <w:color w:val="auto"/>
        </w:rPr>
      </w:pPr>
      <w:r>
        <w:rPr>
          <w:rFonts w:ascii="Arial" w:cs="Arial" w:eastAsia="Arial" w:hAnsi="Arial"/>
          <w:sz w:val="20"/>
          <w:szCs w:val="20"/>
          <w:color w:val="auto"/>
        </w:rPr>
        <w:t>Unless an exception is granted in writing by the Compliance Officer, the chairperson of the Audit Committee or the Company’s Chief Executive Officer, certain persons identified on the Covered Persons List are not permitted to trade in the Company’s securities outside of a valid 10b5</w:t>
      </w:r>
      <w:r>
        <w:rPr>
          <w:rFonts w:ascii="MS PGothic" w:cs="MS PGothic" w:eastAsia="MS PGothic" w:hAnsi="MS PGothic"/>
          <w:sz w:val="20"/>
          <w:szCs w:val="20"/>
          <w:color w:val="auto"/>
        </w:rPr>
        <w:t>‑</w:t>
      </w:r>
      <w:r>
        <w:rPr>
          <w:rFonts w:ascii="Arial" w:cs="Arial" w:eastAsia="Arial" w:hAnsi="Arial"/>
          <w:sz w:val="20"/>
          <w:szCs w:val="20"/>
          <w:color w:val="auto"/>
        </w:rPr>
        <w:t>1 trading plan approved by the Company. In addition, the Company permits other employees to adopt written 10b5</w:t>
      </w:r>
      <w:r>
        <w:rPr>
          <w:rFonts w:ascii="MS PGothic" w:cs="MS PGothic" w:eastAsia="MS PGothic" w:hAnsi="MS PGothic"/>
          <w:sz w:val="20"/>
          <w:szCs w:val="20"/>
          <w:color w:val="auto"/>
        </w:rPr>
        <w:t>‑</w:t>
      </w:r>
      <w:r>
        <w:rPr>
          <w:rFonts w:ascii="Arial" w:cs="Arial" w:eastAsia="Arial" w:hAnsi="Arial"/>
          <w:sz w:val="20"/>
          <w:szCs w:val="20"/>
          <w:color w:val="auto"/>
        </w:rPr>
        <w:t>1 trading plans in order to mitigate the risk of trading on material nonpublic information. To be approved by the Company and qualify for the exception to this Policy, any 10b5</w:t>
      </w:r>
      <w:r>
        <w:rPr>
          <w:rFonts w:ascii="MS PGothic" w:cs="MS PGothic" w:eastAsia="MS PGothic" w:hAnsi="MS PGothic"/>
          <w:sz w:val="20"/>
          <w:szCs w:val="20"/>
          <w:color w:val="auto"/>
        </w:rPr>
        <w:t>‑</w:t>
      </w:r>
      <w:r>
        <w:rPr>
          <w:rFonts w:ascii="Arial" w:cs="Arial" w:eastAsia="Arial" w:hAnsi="Arial"/>
          <w:sz w:val="20"/>
          <w:szCs w:val="20"/>
          <w:color w:val="auto"/>
        </w:rPr>
        <w:t xml:space="preserve">1 trading plan adopted by a director, officer or employee must be submitted to the Compliance Officer for approval and comply with the requirements set forth in the </w:t>
      </w:r>
      <w:r>
        <w:rPr>
          <w:rFonts w:ascii="Arial" w:cs="Arial" w:eastAsia="Arial" w:hAnsi="Arial"/>
          <w:sz w:val="20"/>
          <w:szCs w:val="20"/>
          <w:i w:val="1"/>
          <w:iCs w:val="1"/>
          <w:color w:val="auto"/>
        </w:rPr>
        <w:t>Requirements for Trading Plans</w:t>
      </w:r>
      <w:r>
        <w:rPr>
          <w:rFonts w:ascii="Arial" w:cs="Arial" w:eastAsia="Arial" w:hAnsi="Arial"/>
          <w:sz w:val="20"/>
          <w:szCs w:val="20"/>
          <w:color w:val="auto"/>
        </w:rPr>
        <w:t xml:space="preserve">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If the Compliance Officer is the requester, then the Company’s Chief Executive Officer, Chief Financial Officer, or their delegate, must approve the 10b5-1 trading plan.</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If there is a Regulation BTR blackout (and no quarterly or special blackout period), then the limited exceptions set forth in Regulation BTR will apply.</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ind w:left="760" w:hanging="752"/>
        <w:spacing w:after="0"/>
        <w:tabs>
          <w:tab w:leader="none" w:pos="7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SECTION 16 COMPLIANCE</w:t>
      </w:r>
    </w:p>
    <w:p>
      <w:pPr>
        <w:spacing w:after="0" w:line="22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All of the Company’s directors, executive officers and greater than 10% stockholders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Arial" w:cs="Arial" w:eastAsia="Arial" w:hAnsi="Arial"/>
          <w:sz w:val="20"/>
          <w:szCs w:val="20"/>
          <w:i w:val="1"/>
          <w:iCs w:val="1"/>
          <w:color w:val="auto"/>
        </w:rPr>
        <w:t>etc.</w:t>
      </w:r>
      <w:r>
        <w:rPr>
          <w:rFonts w:ascii="Arial" w:cs="Arial" w:eastAsia="Arial" w:hAnsi="Arial"/>
          <w:sz w:val="20"/>
          <w:szCs w:val="20"/>
          <w:color w:val="auto"/>
        </w:rPr>
        <w:t>) about his or her transactions involving the Company’s securities.</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Company is available to assist in filing Section 16 reports, but the obligation to comply with Section 16 is personal. If you have any questions, you should check with the Compliance Officer.</w:t>
      </w:r>
    </w:p>
    <w:p>
      <w:pPr>
        <w:spacing w:after="0" w:line="171"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VIOLATIONS OF THIS POLICY</w:t>
      </w:r>
    </w:p>
    <w:p>
      <w:pPr>
        <w:spacing w:after="0" w:line="22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9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9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168"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PROTECTED ACTIVITY NOT PROHIBITED</w:t>
      </w:r>
    </w:p>
    <w:p>
      <w:pPr>
        <w:spacing w:after="0" w:line="22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760" w:hanging="752"/>
        <w:spacing w:after="0"/>
        <w:tabs>
          <w:tab w:leader="none" w:pos="7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REPORTING</w:t>
      </w:r>
    </w:p>
    <w:p>
      <w:pPr>
        <w:spacing w:after="0" w:line="22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180" w:lineRule="exact"/>
        <w:rPr>
          <w:sz w:val="20"/>
          <w:szCs w:val="20"/>
          <w:color w:val="auto"/>
        </w:rPr>
      </w:pPr>
    </w:p>
    <w:p>
      <w:pPr>
        <w:ind w:left="760" w:hanging="752"/>
        <w:spacing w:after="0"/>
        <w:tabs>
          <w:tab w:leader="none" w:pos="7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w:t>
      </w:r>
    </w:p>
    <w:p>
      <w:pPr>
        <w:spacing w:after="0" w:line="22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(Adopted on May 15, 2021; effective May 25, 2021; amended February 3, 2022, April 18, 2022 and 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REQUIREMENTS FOR TRADING PLANS</w:t>
      </w:r>
    </w:p>
    <w:p>
      <w:pPr>
        <w:spacing w:after="0" w:line="216" w:lineRule="exact"/>
        <w:rPr>
          <w:sz w:val="20"/>
          <w:szCs w:val="20"/>
          <w:color w:val="auto"/>
        </w:rPr>
      </w:pPr>
    </w:p>
    <w:p>
      <w:pPr>
        <w:jc w:val="both"/>
        <w:ind w:firstLine="749"/>
        <w:spacing w:after="0" w:line="236" w:lineRule="exact"/>
        <w:rPr>
          <w:sz w:val="20"/>
          <w:szCs w:val="20"/>
          <w:color w:val="auto"/>
        </w:rPr>
      </w:pPr>
      <w:r>
        <w:rPr>
          <w:rFonts w:ascii="Arial" w:cs="Arial" w:eastAsia="Arial" w:hAnsi="Arial"/>
          <w:sz w:val="18"/>
          <w:szCs w:val="18"/>
          <w:color w:val="auto"/>
        </w:rPr>
        <w:t>For transactions under a trading plan to be exempt from (A) the prohibitions in the Company’s Insider Trading Policy (the “</w:t>
      </w:r>
      <w:r>
        <w:rPr>
          <w:rFonts w:ascii="Arial" w:cs="Arial" w:eastAsia="Arial" w:hAnsi="Arial"/>
          <w:sz w:val="18"/>
          <w:szCs w:val="18"/>
          <w:b w:val="1"/>
          <w:bCs w:val="1"/>
          <w:color w:val="auto"/>
        </w:rPr>
        <w:t>Policy</w:t>
      </w:r>
      <w:r>
        <w:rPr>
          <w:rFonts w:ascii="Arial" w:cs="Arial" w:eastAsia="Arial" w:hAnsi="Arial"/>
          <w:sz w:val="18"/>
          <w:szCs w:val="18"/>
          <w:color w:val="auto"/>
        </w:rPr>
        <w:t>”) of Paymentus Holdings, Inc. (together with any subsidiaries,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18"/>
          <w:szCs w:val="18"/>
          <w:color w:val="auto"/>
        </w:rPr>
        <w:t>‑</w:t>
      </w:r>
      <w:r>
        <w:rPr>
          <w:rFonts w:ascii="Arial" w:cs="Arial" w:eastAsia="Arial" w:hAnsi="Arial"/>
          <w:sz w:val="18"/>
          <w:szCs w:val="18"/>
          <w:color w:val="auto"/>
        </w:rPr>
        <w:t>1 and must meet the following requirements:</w:t>
      </w:r>
    </w:p>
    <w:p>
      <w:pPr>
        <w:spacing w:after="0" w:line="198" w:lineRule="exact"/>
        <w:rPr>
          <w:sz w:val="20"/>
          <w:szCs w:val="20"/>
          <w:color w:val="auto"/>
        </w:rPr>
      </w:pPr>
    </w:p>
    <w:p>
      <w:pPr>
        <w:ind w:left="1020" w:hanging="263"/>
        <w:spacing w:after="0"/>
        <w:tabs>
          <w:tab w:leader="none" w:pos="10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trading plan must be in writing and signed by the person adopting the trading plan.</w:t>
      </w:r>
    </w:p>
    <w:p>
      <w:pPr>
        <w:spacing w:after="0" w:line="215" w:lineRule="exact"/>
        <w:rPr>
          <w:rFonts w:ascii="Arial" w:cs="Arial" w:eastAsia="Arial" w:hAnsi="Arial"/>
          <w:sz w:val="20"/>
          <w:szCs w:val="20"/>
          <w:color w:val="auto"/>
        </w:rPr>
      </w:pPr>
    </w:p>
    <w:p>
      <w:pPr>
        <w:ind w:left="1020" w:hanging="263"/>
        <w:spacing w:after="0"/>
        <w:tabs>
          <w:tab w:leader="none" w:pos="10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trading plan must be adopted at a time when:</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person adopting the trading plan is not aware of any material nonpublic information; and</w:t>
      </w:r>
    </w:p>
    <w:p>
      <w:pPr>
        <w:spacing w:after="0" w:line="215" w:lineRule="exact"/>
        <w:rPr>
          <w:rFonts w:ascii="Arial" w:cs="Arial" w:eastAsia="Arial" w:hAnsi="Arial"/>
          <w:sz w:val="20"/>
          <w:szCs w:val="20"/>
          <w:color w:val="auto"/>
        </w:rPr>
      </w:pPr>
    </w:p>
    <w:p>
      <w:pPr>
        <w:ind w:left="1880" w:hanging="749"/>
        <w:spacing w:after="0"/>
        <w:tabs>
          <w:tab w:leader="none" w:pos="18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there is no quarterly, special or other trading blackout in effect with respect to the person adopting the plan.</w:t>
      </w:r>
    </w:p>
    <w:p>
      <w:pPr>
        <w:spacing w:after="0" w:line="227" w:lineRule="exact"/>
        <w:rPr>
          <w:rFonts w:ascii="Arial" w:cs="Arial" w:eastAsia="Arial" w:hAnsi="Arial"/>
          <w:sz w:val="19"/>
          <w:szCs w:val="19"/>
          <w:color w:val="auto"/>
        </w:rPr>
      </w:pPr>
    </w:p>
    <w:p>
      <w:pPr>
        <w:ind w:left="1140" w:hanging="383"/>
        <w:spacing w:after="0" w:line="240" w:lineRule="exact"/>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Arial" w:cs="Arial" w:eastAsia="Arial" w:hAnsi="Arial"/>
          <w:sz w:val="20"/>
          <w:szCs w:val="20"/>
          <w:color w:val="auto"/>
        </w:rPr>
        <w:t>1, and the person adopting the trading plan must act in good faith with respect to the trading plan.</w:t>
      </w:r>
    </w:p>
    <w:p>
      <w:pPr>
        <w:spacing w:after="0" w:line="195"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trading plan must include representations that, on the date of adoption of the trading plan, the person adopting the trading plan:</w:t>
      </w:r>
    </w:p>
    <w:p>
      <w:pPr>
        <w:spacing w:after="0" w:line="176" w:lineRule="exact"/>
        <w:rPr>
          <w:rFonts w:ascii="Arial" w:cs="Arial" w:eastAsia="Arial" w:hAnsi="Arial"/>
          <w:sz w:val="20"/>
          <w:szCs w:val="20"/>
          <w:color w:val="auto"/>
        </w:rPr>
      </w:pPr>
    </w:p>
    <w:p>
      <w:pPr>
        <w:ind w:left="1140"/>
        <w:spacing w:after="0"/>
        <w:rPr>
          <w:rFonts w:ascii="Arial" w:cs="Arial" w:eastAsia="Arial" w:hAnsi="Arial"/>
          <w:sz w:val="20"/>
          <w:szCs w:val="20"/>
          <w:color w:val="auto"/>
        </w:rPr>
      </w:pPr>
      <w:r>
        <w:rPr>
          <w:rFonts w:ascii="Arial" w:cs="Arial" w:eastAsia="Arial" w:hAnsi="Arial"/>
          <w:sz w:val="20"/>
          <w:szCs w:val="20"/>
          <w:color w:val="auto"/>
        </w:rPr>
        <w:t>•   is not aware of material nonpublic information about the securities or the Company; and</w:t>
      </w:r>
    </w:p>
    <w:p>
      <w:pPr>
        <w:spacing w:after="0" w:line="215" w:lineRule="exact"/>
        <w:rPr>
          <w:rFonts w:ascii="Arial" w:cs="Arial" w:eastAsia="Arial" w:hAnsi="Arial"/>
          <w:sz w:val="20"/>
          <w:szCs w:val="20"/>
          <w:color w:val="auto"/>
        </w:rPr>
      </w:pPr>
    </w:p>
    <w:p>
      <w:pPr>
        <w:ind w:left="1140"/>
        <w:spacing w:after="0"/>
        <w:rPr>
          <w:rFonts w:ascii="Arial" w:cs="Arial" w:eastAsia="Arial" w:hAnsi="Arial"/>
          <w:sz w:val="20"/>
          <w:szCs w:val="20"/>
          <w:color w:val="auto"/>
        </w:rPr>
      </w:pPr>
      <w:r>
        <w:rPr>
          <w:rFonts w:ascii="Arial" w:cs="Arial" w:eastAsia="Arial" w:hAnsi="Arial"/>
          <w:sz w:val="18"/>
          <w:szCs w:val="18"/>
          <w:color w:val="auto"/>
        </w:rPr>
        <w:t>•   is adopting the trading plan in good faith and not as part of a plan or scheme to evade the prohibitions of Rule 10b5-1.</w:t>
      </w:r>
    </w:p>
    <w:p>
      <w:pPr>
        <w:spacing w:after="0" w:line="238" w:lineRule="exact"/>
        <w:rPr>
          <w:rFonts w:ascii="Arial" w:cs="Arial" w:eastAsia="Arial" w:hAnsi="Arial"/>
          <w:sz w:val="20"/>
          <w:szCs w:val="20"/>
          <w:color w:val="auto"/>
        </w:rPr>
      </w:pPr>
    </w:p>
    <w:p>
      <w:pPr>
        <w:jc w:val="both"/>
        <w:ind w:left="1140" w:hanging="383"/>
        <w:spacing w:after="0" w:line="250"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85" w:lineRule="exact"/>
        <w:rPr>
          <w:rFonts w:ascii="Arial" w:cs="Arial" w:eastAsia="Arial" w:hAnsi="Arial"/>
          <w:sz w:val="20"/>
          <w:szCs w:val="20"/>
          <w:color w:val="auto"/>
        </w:rPr>
      </w:pPr>
    </w:p>
    <w:p>
      <w:pPr>
        <w:jc w:val="both"/>
        <w:ind w:left="1140" w:hanging="383"/>
        <w:spacing w:after="0" w:line="259" w:lineRule="auto"/>
        <w:tabs>
          <w:tab w:leader="none" w:pos="11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first trade under the trading plan for directors and officers (as defined in Rule 16a-1(f) of the Securities Exchange Act of 1934) may not occur until after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may not occur until after 30 calendar days after adoption of the trading plan.</w:t>
      </w:r>
    </w:p>
    <w:p>
      <w:pPr>
        <w:spacing w:after="0" w:line="178" w:lineRule="exact"/>
        <w:rPr>
          <w:rFonts w:ascii="Arial" w:cs="Arial" w:eastAsia="Arial" w:hAnsi="Arial"/>
          <w:sz w:val="19"/>
          <w:szCs w:val="19"/>
          <w:color w:val="auto"/>
        </w:rPr>
      </w:pPr>
    </w:p>
    <w:p>
      <w:pPr>
        <w:ind w:left="1140" w:hanging="383"/>
        <w:spacing w:after="0"/>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trading plan must have a minimum term of one year (starting from the date of adoption of the trading plan).</w:t>
      </w:r>
    </w:p>
    <w:p>
      <w:pPr>
        <w:spacing w:after="0" w:line="215" w:lineRule="exact"/>
        <w:rPr>
          <w:rFonts w:ascii="Arial" w:cs="Arial" w:eastAsia="Arial" w:hAnsi="Arial"/>
          <w:sz w:val="20"/>
          <w:szCs w:val="20"/>
          <w:color w:val="auto"/>
        </w:rPr>
      </w:pPr>
    </w:p>
    <w:p>
      <w:pPr>
        <w:jc w:val="both"/>
        <w:ind w:left="1140" w:hanging="383"/>
        <w:spacing w:after="0" w:line="246"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transactions during the term of the trading plan (except for the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xml:space="preserve">” identified in the Policy and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gifts) must be conducted through the trading plan. In addition, the person adopting the trading plan may not have an outstanding trading plan (and may not subsequently enter into any additional trading plan) except as permitted by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1" w:name="page42"/>
    <w:bookmarkEnd w:id="41"/>
    <w:p>
      <w:pPr>
        <w:jc w:val="both"/>
        <w:ind w:left="1140" w:hanging="383"/>
        <w:spacing w:after="0" w:line="250" w:lineRule="auto"/>
        <w:tabs>
          <w:tab w:leader="none" w:pos="11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modification or change to the amount, price or timing of transactions under the trading plan is deemed the termination of the trading plan, and the adoption of a new trading plan (“</w:t>
      </w:r>
      <w:r>
        <w:rPr>
          <w:rFonts w:ascii="Arial" w:cs="Arial" w:eastAsia="Arial" w:hAnsi="Arial"/>
          <w:sz w:val="20"/>
          <w:szCs w:val="20"/>
          <w:b w:val="1"/>
          <w:bCs w:val="1"/>
          <w:color w:val="auto"/>
        </w:rPr>
        <w:t>Modification</w:t>
      </w:r>
      <w:r>
        <w:rPr>
          <w:rFonts w:ascii="Arial" w:cs="Arial" w:eastAsia="Arial" w:hAnsi="Arial"/>
          <w:sz w:val="20"/>
          <w:szCs w:val="20"/>
          <w:color w:val="auto"/>
        </w:rPr>
        <w:t>”). Therefore, a Modification is subject to the same conditions as a new trading plan as set forth in Sections 1 through 8 herein.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Within the one year preceding the adoption or a Modification of a trading plan, a person may not have otherwise adopted or done a Modification to a plan more than once.</w:t>
      </w:r>
    </w:p>
    <w:p>
      <w:pPr>
        <w:spacing w:after="0" w:line="176" w:lineRule="exact"/>
        <w:rPr>
          <w:rFonts w:ascii="Arial" w:cs="Arial" w:eastAsia="Arial" w:hAnsi="Arial"/>
          <w:sz w:val="20"/>
          <w:szCs w:val="20"/>
          <w:color w:val="auto"/>
        </w:rPr>
      </w:pPr>
    </w:p>
    <w:p>
      <w:pPr>
        <w:ind w:left="1140" w:hanging="383"/>
        <w:spacing w:after="0" w:line="260" w:lineRule="auto"/>
        <w:tabs>
          <w:tab w:leader="none" w:pos="11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person may adopt a trading plan designed to cover a single trade only once in any consecutive 12-month period except as permitted by Rule 10b5-1.</w:t>
      </w:r>
    </w:p>
    <w:p>
      <w:pPr>
        <w:spacing w:after="0" w:line="176" w:lineRule="exact"/>
        <w:rPr>
          <w:rFonts w:ascii="Arial" w:cs="Arial" w:eastAsia="Arial" w:hAnsi="Arial"/>
          <w:sz w:val="20"/>
          <w:szCs w:val="20"/>
          <w:color w:val="auto"/>
        </w:rPr>
      </w:pPr>
    </w:p>
    <w:p>
      <w:pPr>
        <w:jc w:val="both"/>
        <w:ind w:left="1140" w:hanging="383"/>
        <w:spacing w:after="0" w:line="250" w:lineRule="auto"/>
        <w:tabs>
          <w:tab w:leader="none" w:pos="11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85" w:lineRule="exact"/>
        <w:rPr>
          <w:rFonts w:ascii="Arial" w:cs="Arial" w:eastAsia="Arial" w:hAnsi="Arial"/>
          <w:sz w:val="20"/>
          <w:szCs w:val="20"/>
          <w:color w:val="auto"/>
        </w:rPr>
      </w:pPr>
    </w:p>
    <w:p>
      <w:pPr>
        <w:ind w:firstLine="757"/>
        <w:spacing w:after="0" w:line="316" w:lineRule="auto"/>
        <w:tabs>
          <w:tab w:leader="none" w:pos="10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must be promptly notified of any Modification or termination of the trading plan, including any suspension of trading under the trading plan.</w:t>
      </w:r>
    </w:p>
    <w:p>
      <w:pPr>
        <w:spacing w:after="0" w:line="130" w:lineRule="exact"/>
        <w:rPr>
          <w:sz w:val="20"/>
          <w:szCs w:val="20"/>
          <w:color w:val="auto"/>
        </w:rPr>
      </w:pPr>
    </w:p>
    <w:p>
      <w:pPr>
        <w:ind w:left="760"/>
        <w:spacing w:after="0"/>
        <w:tabs>
          <w:tab w:leader="none" w:pos="8700" w:val="left"/>
        </w:tabs>
        <w:rPr>
          <w:sz w:val="20"/>
          <w:szCs w:val="20"/>
          <w:color w:val="auto"/>
        </w:rPr>
      </w:pPr>
      <w:r>
        <w:rPr>
          <w:rFonts w:ascii="Arial" w:cs="Arial" w:eastAsia="Arial" w:hAnsi="Arial"/>
          <w:sz w:val="20"/>
          <w:szCs w:val="20"/>
          <w:color w:val="auto"/>
        </w:rPr>
        <w:t>14. The Company must have authority to require the suspension or cancellation of the trading plan</w:t>
      </w:r>
      <w:r>
        <w:rPr>
          <w:sz w:val="20"/>
          <w:szCs w:val="20"/>
          <w:color w:val="auto"/>
        </w:rPr>
        <w:tab/>
      </w:r>
      <w:r>
        <w:rPr>
          <w:rFonts w:ascii="Arial" w:cs="Arial" w:eastAsia="Arial" w:hAnsi="Arial"/>
          <w:sz w:val="16"/>
          <w:szCs w:val="16"/>
          <w:color w:val="auto"/>
        </w:rPr>
        <w:t>at any time.</w:t>
      </w:r>
    </w:p>
    <w:p>
      <w:pPr>
        <w:spacing w:after="0" w:line="216" w:lineRule="exact"/>
        <w:rPr>
          <w:sz w:val="20"/>
          <w:szCs w:val="20"/>
          <w:color w:val="auto"/>
        </w:rPr>
      </w:pPr>
    </w:p>
    <w:p>
      <w:pPr>
        <w:ind w:left="760"/>
        <w:spacing w:after="0"/>
        <w:tabs>
          <w:tab w:leader="none" w:pos="8320" w:val="left"/>
        </w:tabs>
        <w:rPr>
          <w:sz w:val="20"/>
          <w:szCs w:val="20"/>
          <w:color w:val="auto"/>
        </w:rPr>
      </w:pPr>
      <w:r>
        <w:rPr>
          <w:rFonts w:ascii="Arial" w:cs="Arial" w:eastAsia="Arial" w:hAnsi="Arial"/>
          <w:sz w:val="20"/>
          <w:szCs w:val="20"/>
          <w:color w:val="auto"/>
        </w:rPr>
        <w:t>15. If the trading plan grants discretion to a stockbroker or other person with respect to the</w:t>
      </w:r>
      <w:r>
        <w:rPr>
          <w:sz w:val="20"/>
          <w:szCs w:val="20"/>
          <w:color w:val="auto"/>
        </w:rPr>
        <w:tab/>
      </w:r>
      <w:r>
        <w:rPr>
          <w:rFonts w:ascii="Arial" w:cs="Arial" w:eastAsia="Arial" w:hAnsi="Arial"/>
          <w:sz w:val="16"/>
          <w:szCs w:val="16"/>
          <w:color w:val="auto"/>
        </w:rPr>
        <w:t>execution of trades under the trading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0" w:lineRule="exact"/>
        <w:rPr>
          <w:sz w:val="20"/>
          <w:szCs w:val="20"/>
          <w:color w:val="auto"/>
        </w:rPr>
      </w:pPr>
    </w:p>
    <w:p>
      <w:pPr>
        <w:ind w:left="1880" w:hanging="749"/>
        <w:spacing w:after="0" w:line="260" w:lineRule="auto"/>
        <w:tabs>
          <w:tab w:leader="none" w:pos="18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trades made under the trading plan must be executed by someone other than the stockbroker or other person that executes trades in other securities for the person adopting the trading plan;</w:t>
      </w:r>
    </w:p>
    <w:p>
      <w:pPr>
        <w:spacing w:after="0" w:line="176" w:lineRule="exact"/>
        <w:rPr>
          <w:rFonts w:ascii="Arial" w:cs="Arial" w:eastAsia="Arial" w:hAnsi="Arial"/>
          <w:sz w:val="20"/>
          <w:szCs w:val="20"/>
          <w:color w:val="auto"/>
        </w:rPr>
      </w:pPr>
    </w:p>
    <w:p>
      <w:pPr>
        <w:ind w:left="1880" w:hanging="749"/>
        <w:spacing w:after="0" w:line="260" w:lineRule="auto"/>
        <w:tabs>
          <w:tab w:leader="none" w:pos="18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person adopting the trading plan may not confer with the person administering the trading plan regarding the Company or its securities; and</w:t>
      </w:r>
    </w:p>
    <w:p>
      <w:pPr>
        <w:spacing w:after="0" w:line="176" w:lineRule="exact"/>
        <w:rPr>
          <w:rFonts w:ascii="Arial" w:cs="Arial" w:eastAsia="Arial" w:hAnsi="Arial"/>
          <w:sz w:val="20"/>
          <w:szCs w:val="20"/>
          <w:color w:val="auto"/>
        </w:rPr>
      </w:pPr>
    </w:p>
    <w:p>
      <w:pPr>
        <w:ind w:left="1880" w:hanging="749"/>
        <w:spacing w:after="0" w:line="260" w:lineRule="auto"/>
        <w:tabs>
          <w:tab w:leader="none" w:pos="18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person administering the trading plan must provide prompt notice to the Company of the execution of a transaction pursuant to the plan.</w:t>
      </w:r>
    </w:p>
    <w:p>
      <w:pPr>
        <w:spacing w:after="0" w:line="176" w:lineRule="exact"/>
        <w:rPr>
          <w:rFonts w:ascii="Arial" w:cs="Arial" w:eastAsia="Arial" w:hAnsi="Arial"/>
          <w:sz w:val="20"/>
          <w:szCs w:val="20"/>
          <w:color w:val="auto"/>
        </w:rPr>
      </w:pPr>
    </w:p>
    <w:p>
      <w:pPr>
        <w:ind w:left="1140" w:hanging="383"/>
        <w:spacing w:after="0"/>
        <w:tabs>
          <w:tab w:leader="none" w:pos="11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All transactions under the trading plan must be in accordance with applicable law.</w:t>
      </w:r>
    </w:p>
    <w:p>
      <w:pPr>
        <w:spacing w:after="0" w:line="215" w:lineRule="exact"/>
        <w:rPr>
          <w:rFonts w:ascii="Arial" w:cs="Arial" w:eastAsia="Arial" w:hAnsi="Arial"/>
          <w:sz w:val="20"/>
          <w:szCs w:val="20"/>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trading plan (including any Modification) must meet such other requirements as the Compliance Officer may determine.</w:t>
      </w:r>
    </w:p>
    <w:p>
      <w:pPr>
        <w:spacing w:after="0" w:line="232" w:lineRule="exact"/>
        <w:rPr>
          <w:rFonts w:ascii="Arial" w:cs="Arial" w:eastAsia="Arial" w:hAnsi="Arial"/>
          <w:sz w:val="18"/>
          <w:szCs w:val="18"/>
          <w:color w:val="auto"/>
        </w:rPr>
      </w:pPr>
    </w:p>
    <w:p>
      <w:pPr>
        <w:jc w:val="both"/>
        <w:ind w:left="1140" w:hanging="383"/>
        <w:spacing w:after="0" w:line="248" w:lineRule="auto"/>
        <w:tabs>
          <w:tab w:leader="none" w:pos="11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trading plans adopted or modified prior to February 27, 2023 (the “</w:t>
      </w:r>
      <w:r>
        <w:rPr>
          <w:rFonts w:ascii="Arial" w:cs="Arial" w:eastAsia="Arial" w:hAnsi="Arial"/>
          <w:sz w:val="20"/>
          <w:szCs w:val="20"/>
          <w:b w:val="1"/>
          <w:bCs w:val="1"/>
          <w:color w:val="auto"/>
        </w:rPr>
        <w:t>Effective Date</w:t>
      </w:r>
      <w:r>
        <w:rPr>
          <w:rFonts w:ascii="Arial" w:cs="Arial" w:eastAsia="Arial" w:hAnsi="Arial"/>
          <w:sz w:val="20"/>
          <w:szCs w:val="20"/>
          <w:color w:val="auto"/>
        </w:rPr>
        <w:t>”) are permitted to continue in place until all trades are executed thereunder or they expire by their terms (“</w:t>
      </w:r>
      <w:r>
        <w:rPr>
          <w:rFonts w:ascii="Arial" w:cs="Arial" w:eastAsia="Arial" w:hAnsi="Arial"/>
          <w:sz w:val="20"/>
          <w:szCs w:val="20"/>
          <w:b w:val="1"/>
          <w:bCs w:val="1"/>
          <w:color w:val="auto"/>
        </w:rPr>
        <w:t>Grandfathered Plans</w:t>
      </w:r>
      <w:r>
        <w:rPr>
          <w:rFonts w:ascii="Arial" w:cs="Arial" w:eastAsia="Arial" w:hAnsi="Arial"/>
          <w:sz w:val="20"/>
          <w:szCs w:val="20"/>
          <w:color w:val="auto"/>
        </w:rPr>
        <w:t>”). If the person undertakes a Modification of a Grandfathered Plan on or after the Effective Date, then the Modification must meet all of the requirements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jc w:val="center"/>
        <w:spacing w:after="0" w:line="274"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1"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left="380" w:right="520" w:hanging="372"/>
        <w:spacing w:after="0" w:line="276"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380" w:right="160" w:hanging="372"/>
        <w:spacing w:after="0" w:line="261"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6"/>
          <w:szCs w:val="16"/>
          <w:color w:val="auto"/>
        </w:rPr>
      </w:pPr>
    </w:p>
    <w:p>
      <w:pPr>
        <w:jc w:val="both"/>
        <w:ind w:left="1060" w:hanging="678"/>
        <w:spacing w:after="0" w:line="261"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6"/>
          <w:szCs w:val="16"/>
          <w:color w:val="auto"/>
        </w:rPr>
      </w:pPr>
    </w:p>
    <w:p>
      <w:pPr>
        <w:ind w:left="1060" w:right="400" w:hanging="678"/>
        <w:spacing w:after="0" w:line="261"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6"/>
          <w:szCs w:val="16"/>
          <w:color w:val="auto"/>
        </w:rPr>
      </w:pPr>
    </w:p>
    <w:p>
      <w:pPr>
        <w:jc w:val="both"/>
        <w:ind w:left="1060" w:right="420" w:hanging="678"/>
        <w:spacing w:after="0" w:line="276"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6"/>
          <w:szCs w:val="16"/>
          <w:color w:val="auto"/>
        </w:rPr>
      </w:pPr>
    </w:p>
    <w:p>
      <w:pPr>
        <w:ind w:left="1060" w:right="120" w:hanging="678"/>
        <w:spacing w:after="0" w:line="261"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6"/>
          <w:szCs w:val="16"/>
          <w:color w:val="auto"/>
        </w:rPr>
      </w:pPr>
    </w:p>
    <w:p>
      <w:pPr>
        <w:ind w:left="380" w:right="460" w:hanging="372"/>
        <w:spacing w:after="0" w:line="276"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1060" w:right="60" w:hanging="678"/>
        <w:spacing w:after="0" w:line="276"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6"/>
          <w:szCs w:val="16"/>
          <w:color w:val="auto"/>
        </w:rPr>
      </w:pPr>
    </w:p>
    <w:p>
      <w:pPr>
        <w:ind w:left="1060" w:right="520" w:hanging="678"/>
        <w:spacing w:after="0" w:line="276"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wp:posOffset>
            </wp:positionV>
            <wp:extent cx="33089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Dushyant Sharma</w:t>
      </w:r>
    </w:p>
    <w:p>
      <w:pPr>
        <w:spacing w:after="0" w:line="31"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1030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line="274"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 Sanjay Kalra, certify that:</w:t>
      </w:r>
    </w:p>
    <w:p>
      <w:pPr>
        <w:spacing w:after="0" w:line="221"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1"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left="380" w:right="520" w:hanging="372"/>
        <w:spacing w:after="0" w:line="27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380" w:right="160" w:hanging="372"/>
        <w:spacing w:after="0" w:line="261"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6"/>
          <w:szCs w:val="16"/>
          <w:color w:val="auto"/>
        </w:rPr>
      </w:pPr>
    </w:p>
    <w:p>
      <w:pPr>
        <w:jc w:val="both"/>
        <w:ind w:left="1060" w:hanging="678"/>
        <w:spacing w:after="0" w:line="261"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6"/>
          <w:szCs w:val="16"/>
          <w:color w:val="auto"/>
        </w:rPr>
      </w:pPr>
    </w:p>
    <w:p>
      <w:pPr>
        <w:ind w:left="1060" w:right="400" w:hanging="678"/>
        <w:spacing w:after="0" w:line="261"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6"/>
          <w:szCs w:val="16"/>
          <w:color w:val="auto"/>
        </w:rPr>
      </w:pPr>
    </w:p>
    <w:p>
      <w:pPr>
        <w:jc w:val="both"/>
        <w:ind w:left="1060" w:right="420" w:hanging="678"/>
        <w:spacing w:after="0" w:line="276"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ind w:left="1060" w:right="120" w:hanging="678"/>
        <w:spacing w:after="0" w:line="261"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6"/>
          <w:szCs w:val="16"/>
          <w:color w:val="auto"/>
        </w:rPr>
      </w:pPr>
    </w:p>
    <w:p>
      <w:pPr>
        <w:ind w:left="380" w:right="460" w:hanging="372"/>
        <w:spacing w:after="0" w:line="27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1060" w:right="60" w:hanging="678"/>
        <w:spacing w:after="0" w:line="276"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6"/>
          <w:szCs w:val="16"/>
          <w:color w:val="auto"/>
        </w:rPr>
      </w:pPr>
    </w:p>
    <w:p>
      <w:pPr>
        <w:ind w:left="1060" w:right="520" w:hanging="678"/>
        <w:spacing w:after="0" w:line="276"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8"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Sanjay Kalra</w:t>
      </w:r>
    </w:p>
    <w:p>
      <w:pPr>
        <w:spacing w:after="0" w:line="43"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ind w:right="40" w:firstLine="578"/>
        <w:spacing w:after="0" w:line="261"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June 30, 2023 as filed with the Securities and Exchange Commission on the date hereof (the “Report”), I certify, pursuant to 18 U.S.C. § 1350, as adopted pursuant to § 906 of the Sarbanes-Oxley Act of 2002, that, to the best of my knowledge and belief:</w:t>
      </w:r>
    </w:p>
    <w:p>
      <w:pPr>
        <w:spacing w:after="0" w:line="223" w:lineRule="exact"/>
        <w:rPr>
          <w:sz w:val="20"/>
          <w:szCs w:val="20"/>
          <w:color w:val="auto"/>
        </w:rPr>
      </w:pPr>
    </w:p>
    <w:p>
      <w:pPr>
        <w:ind w:left="1040" w:hanging="1019"/>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960" w:right="760" w:hanging="939"/>
        <w:spacing w:after="0" w:line="276"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40" w:val="left"/>
          <w:tab w:leader="none" w:pos="786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wp:posOffset>
            </wp:positionV>
            <wp:extent cx="33089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43"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432435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ind w:right="40" w:firstLine="578"/>
        <w:spacing w:after="0" w:line="261"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June 30, 2023 as filed with the Securities and Exchange Commission on the date hereof (the “Report”), I certify, pursuant to 18 U.S.C. § 1350, as adopted pursuant to § 906 of the Sarbanes-Oxley Act of 2002, that, to the best of my knowledge and belief:</w:t>
      </w:r>
    </w:p>
    <w:p>
      <w:pPr>
        <w:spacing w:after="0" w:line="223" w:lineRule="exact"/>
        <w:rPr>
          <w:sz w:val="20"/>
          <w:szCs w:val="20"/>
          <w:color w:val="auto"/>
        </w:rPr>
      </w:pPr>
    </w:p>
    <w:p>
      <w:pPr>
        <w:ind w:left="1040" w:hanging="10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80" w:right="640" w:hanging="1059"/>
        <w:spacing w:after="0" w:line="27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98"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Sanjay Kalra</w:t>
      </w:r>
    </w:p>
    <w:p>
      <w:pPr>
        <w:spacing w:after="0" w:line="43"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1."/>
      <w:numFmt w:val="decimal"/>
      <w:start w:val="8"/>
    </w:lvl>
  </w:abstractNum>
  <w:abstractNum w:abstractNumId="9">
    <w:nsid w:val="2CA88611"/>
    <w:multiLevelType w:val="hybridMultilevel"/>
    <w:lvl w:ilvl="0">
      <w:lvlJc w:val="left"/>
      <w:lvlText w:val="%1."/>
      <w:numFmt w:val="decimal"/>
      <w:start w:val="9"/>
    </w:lvl>
  </w:abstractNum>
  <w:abstractNum w:abstractNumId="10">
    <w:nsid w:val="836C40E"/>
    <w:multiLevelType w:val="hybridMultilevel"/>
    <w:lvl w:ilvl="0">
      <w:lvlJc w:val="left"/>
      <w:lvlText w:val="%1."/>
      <w:numFmt w:val="decimal"/>
      <w:start w:val="10"/>
    </w:lvl>
  </w:abstractNum>
  <w:abstractNum w:abstractNumId="11">
    <w:nsid w:val="2901D82"/>
    <w:multiLevelType w:val="hybridMultilevel"/>
    <w:lvl w:ilvl="0">
      <w:lvlJc w:val="left"/>
      <w:lvlText w:val="%1."/>
      <w:numFmt w:val="decimal"/>
      <w:start w:val="1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2"/>
      <w:numFmt w:val="decimal"/>
      <w:start w:val="104"/>
    </w:lvl>
  </w:abstractNum>
  <w:abstractNum w:abstractNumId="16">
    <w:nsid w:val="737B8DDC"/>
    <w:multiLevelType w:val="hybridMultilevel"/>
    <w:lvl w:ilvl="0">
      <w:lvlJc w:val="left"/>
      <w:lvlText w:val="%1."/>
      <w:numFmt w:val="upperLetter"/>
      <w:start w:val="1"/>
    </w:lvl>
  </w:abstractNum>
  <w:abstractNum w:abstractNumId="17">
    <w:nsid w:val="6CEAF08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8">
    <w:nsid w:val="22221A70"/>
    <w:multiLevelType w:val="hybridMultilevel"/>
    <w:lvl w:ilvl="0">
      <w:lvlJc w:val="left"/>
      <w:lvlText w:val="%1."/>
      <w:numFmt w:val="decimal"/>
      <w:start w:val="2"/>
    </w:lvl>
  </w:abstractNum>
  <w:abstractNum w:abstractNumId="19">
    <w:nsid w:val="4516DDE9"/>
    <w:multiLevelType w:val="hybridMultilevel"/>
    <w:lvl w:ilvl="0">
      <w:lvlJc w:val="left"/>
      <w:lvlText w:val="%1."/>
      <w:numFmt w:val="decimal"/>
      <w:start w:val="3"/>
    </w:lvl>
  </w:abstractNum>
  <w:abstractNum w:abstractNumId="20">
    <w:nsid w:val="3006C83E"/>
    <w:multiLevelType w:val="hybridMultilevel"/>
    <w:lvl w:ilvl="0">
      <w:lvlJc w:val="left"/>
      <w:lvlText w:val="%1."/>
      <w:numFmt w:val="lowerLetter"/>
      <w:start w:val="5"/>
    </w:lvl>
  </w:abstractNum>
  <w:abstractNum w:abstractNumId="21">
    <w:nsid w:val="614FD4A1"/>
    <w:multiLevelType w:val="hybridMultilevel"/>
    <w:lvl w:ilvl="0">
      <w:lvlJc w:val="left"/>
      <w:lvlText w:val="%1."/>
      <w:numFmt w:val="lowerLetter"/>
      <w:start w:val="15"/>
    </w:lvl>
  </w:abstractNum>
  <w:abstractNum w:abstractNumId="22">
    <w:nsid w:val="419AC241"/>
    <w:multiLevelType w:val="hybridMultilevel"/>
    <w:lvl w:ilvl="0">
      <w:lvlJc w:val="left"/>
      <w:lvlText w:val="%1."/>
      <w:numFmt w:val="upperLetter"/>
      <w:start w:val="3"/>
    </w:lvl>
  </w:abstractNum>
  <w:abstractNum w:abstractNumId="23">
    <w:nsid w:val="5577F8E1"/>
    <w:multiLevelType w:val="hybridMultilevel"/>
    <w:lvl w:ilvl="0">
      <w:lvlJc w:val="left"/>
      <w:lvlText w:val="%1."/>
      <w:numFmt w:val="upperLetter"/>
      <w:start w:val="4"/>
    </w:lvl>
  </w:abstractNum>
  <w:abstractNum w:abstractNumId="24">
    <w:nsid w:val="440BADFC"/>
    <w:multiLevelType w:val="hybridMultilevel"/>
    <w:lvl w:ilvl="0">
      <w:lvlJc w:val="left"/>
      <w:lvlText w:val="%1."/>
      <w:numFmt w:val="decimal"/>
      <w:start w:val="4"/>
    </w:lvl>
  </w:abstractNum>
  <w:abstractNum w:abstractNumId="25">
    <w:nsid w:val="5072367"/>
    <w:multiLevelType w:val="hybridMultilevel"/>
    <w:lvl w:ilvl="0">
      <w:lvlJc w:val="left"/>
      <w:lvlText w:val="%1."/>
      <w:numFmt w:val="upperLetter"/>
      <w:start w:val="5"/>
    </w:lvl>
    <w:lvl w:ilvl="1">
      <w:lvlJc w:val="left"/>
      <w:lvlText w:val="%2."/>
      <w:numFmt w:val="decimal"/>
      <w:start w:val="8"/>
    </w:lvl>
  </w:abstractNum>
  <w:abstractNum w:abstractNumId="26">
    <w:nsid w:val="3804823E"/>
    <w:multiLevelType w:val="hybridMultilevel"/>
    <w:lvl w:ilvl="0">
      <w:lvlJc w:val="left"/>
      <w:lvlText w:val="%1"/>
      <w:numFmt w:val="upperLetter"/>
      <w:start w:val="1"/>
    </w:lvl>
    <w:lvl w:ilvl="1">
      <w:lvlJc w:val="left"/>
      <w:lvlText w:val="%2."/>
      <w:numFmt w:val="decimal"/>
      <w:start w:val="9"/>
    </w:lvl>
  </w:abstractNum>
  <w:abstractNum w:abstractNumId="27">
    <w:nsid w:val="77465F01"/>
    <w:multiLevelType w:val="hybridMultilevel"/>
    <w:lvl w:ilvl="0">
      <w:lvlJc w:val="left"/>
      <w:lvlText w:val="%1."/>
      <w:numFmt w:val="upperLetter"/>
      <w:start w:val="6"/>
    </w:lvl>
    <w:lvl w:ilvl="1">
      <w:lvlJc w:val="left"/>
      <w:lvlText w:val="%2"/>
      <w:numFmt w:val="decimal"/>
      <w:start w:val="1"/>
    </w:lvl>
  </w:abstractNum>
  <w:abstractNum w:abstractNumId="28">
    <w:nsid w:val="7724C67E"/>
    <w:multiLevelType w:val="hybridMultilevel"/>
    <w:lvl w:ilvl="0">
      <w:lvlJc w:val="left"/>
      <w:lvlText w:val="%1."/>
      <w:numFmt w:val="decimal"/>
      <w:start w:val="11"/>
    </w:lvl>
  </w:abstractNum>
  <w:abstractNum w:abstractNumId="29">
    <w:nsid w:val="5C482A97"/>
    <w:multiLevelType w:val="hybridMultilevel"/>
    <w:lvl w:ilvl="0">
      <w:lvlJc w:val="left"/>
      <w:lvlText w:val="%1."/>
      <w:numFmt w:val="upperLetter"/>
      <w:start w:val="7"/>
    </w:lvl>
  </w:abstractNum>
  <w:abstractNum w:abstractNumId="30">
    <w:nsid w:val="2463B9EA"/>
    <w:multiLevelType w:val="hybridMultilevel"/>
    <w:lvl w:ilvl="0">
      <w:lvlJc w:val="left"/>
      <w:lvlText w:val="%1."/>
      <w:numFmt w:val="upperLetter"/>
      <w:start w:val="8"/>
    </w:lvl>
  </w:abstractNum>
  <w:abstractNum w:abstractNumId="31">
    <w:nsid w:val="5E884ADC"/>
    <w:multiLevelType w:val="hybridMultilevel"/>
    <w:lvl w:ilvl="0">
      <w:lvlJc w:val="left"/>
      <w:lvlText w:val="%1."/>
      <w:numFmt w:val="decimal"/>
      <w:start w:val="15"/>
    </w:lvl>
  </w:abstractNum>
  <w:abstractNum w:abstractNumId="32">
    <w:nsid w:val="51EAD36B"/>
    <w:multiLevelType w:val="hybridMultilevel"/>
    <w:lvl w:ilvl="0">
      <w:lvlJc w:val="left"/>
      <w:lvlText w:val="%1."/>
      <w:numFmt w:val="decimal"/>
      <w:start w:val="20"/>
    </w:lvl>
  </w:abstractNum>
  <w:abstractNum w:abstractNumId="33">
    <w:nsid w:val="2D517796"/>
    <w:multiLevelType w:val="hybridMultilevel"/>
    <w:lvl w:ilvl="0">
      <w:lvlJc w:val="left"/>
      <w:lvlText w:val="%1."/>
      <w:numFmt w:val="upperLetter"/>
      <w:start w:val="9"/>
    </w:lvl>
  </w:abstractNum>
  <w:abstractNum w:abstractNumId="34">
    <w:nsid w:val="580BD78F"/>
    <w:multiLevelType w:val="hybridMultilevel"/>
    <w:lvl w:ilvl="0">
      <w:lvlJc w:val="left"/>
      <w:lvlText w:val="%1."/>
      <w:numFmt w:val="upperLetter"/>
      <w:start w:val="10"/>
    </w:lvl>
  </w:abstractNum>
  <w:abstractNum w:abstractNumId="35">
    <w:nsid w:val="153EA438"/>
    <w:multiLevelType w:val="hybridMultilevel"/>
    <w:lvl w:ilvl="0">
      <w:lvlJc w:val="left"/>
      <w:lvlText w:val="%1."/>
      <w:numFmt w:val="upperLetter"/>
      <w:start w:val="11"/>
    </w:lvl>
  </w:abstractNum>
  <w:abstractNum w:abstractNumId="36">
    <w:nsid w:val="3855585C"/>
    <w:multiLevelType w:val="hybridMultilevel"/>
    <w:lvl w:ilvl="0">
      <w:lvlJc w:val="left"/>
      <w:lvlText w:val="%1."/>
      <w:numFmt w:val="upperLetter"/>
      <w:start w:val="12"/>
    </w:lvl>
  </w:abstractNum>
  <w:abstractNum w:abstractNumId="37">
    <w:nsid w:val="70A64E2A"/>
    <w:multiLevelType w:val="hybridMultilevel"/>
    <w:lvl w:ilvl="0">
      <w:lvlJc w:val="left"/>
      <w:lvlText w:val="%1."/>
      <w:numFmt w:val="upperLetter"/>
      <w:start w:val="13"/>
    </w:lvl>
  </w:abstractNum>
  <w:abstractNum w:abstractNumId="38">
    <w:nsid w:val="6A2342EC"/>
    <w:multiLevelType w:val="hybridMultilevel"/>
    <w:lvl w:ilvl="0">
      <w:lvlJc w:val="left"/>
      <w:lvlText w:val="%1."/>
      <w:numFmt w:val="decimal"/>
      <w:start w:val="1"/>
    </w:lvl>
    <w:lvl w:ilvl="1">
      <w:lvlJc w:val="left"/>
      <w:lvlText w:val="%2."/>
      <w:numFmt w:val="lowerLetter"/>
      <w:start w:val="1"/>
    </w:lvl>
  </w:abstractNum>
  <w:abstractNum w:abstractNumId="39">
    <w:nsid w:val="2A487CB0"/>
    <w:multiLevelType w:val="hybridMultilevel"/>
    <w:lvl w:ilvl="0">
      <w:lvlJc w:val="left"/>
      <w:lvlText w:val="%1."/>
      <w:numFmt w:val="decimal"/>
      <w:start w:val="9"/>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6"/>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16" Type="http://schemas.openxmlformats.org/officeDocument/2006/relationships/hyperlink" Target="https://www.sec.gov/Archives/edgar/data/1841156/000156459021030840/ck7045120534-ex31_9.htm" TargetMode="External"/><Relationship Id="rId217" Type="http://schemas.openxmlformats.org/officeDocument/2006/relationships/hyperlink" Target="https://www.sec.gov/Archives/edgar/data/1841156/000095017022025091/pay-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2023-08-07T16:31:33Z</dcterms:created>
  <dcterms:modified xsi:type="dcterms:W3CDTF">2023-08-07T16:31:33Z</dcterms:modified>
</cp:coreProperties>
</file>